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86908" w14:textId="2BA498D6" w:rsidR="00F57DF5" w:rsidRPr="00E965D1" w:rsidRDefault="0044160D" w:rsidP="00F57DF5">
      <w:pPr>
        <w:shd w:val="clear" w:color="auto" w:fill="FFFFFF"/>
        <w:spacing w:before="450" w:after="300"/>
        <w:jc w:val="center"/>
        <w:outlineLvl w:val="0"/>
        <w:rPr>
          <w:rFonts w:ascii="Arial" w:hAnsi="Arial" w:cs="Arial"/>
          <w:b/>
          <w:bCs/>
          <w:color w:val="282828"/>
          <w:spacing w:val="-13"/>
          <w:kern w:val="36"/>
          <w:sz w:val="44"/>
          <w:szCs w:val="57"/>
          <w:lang w:val="en-GB" w:eastAsia="en-GB"/>
        </w:rPr>
      </w:pPr>
      <w:r w:rsidRPr="00E965D1">
        <w:rPr>
          <w:rFonts w:ascii="Arial" w:hAnsi="Arial" w:cs="Arial"/>
          <w:b/>
          <w:bCs/>
          <w:color w:val="282828"/>
          <w:spacing w:val="-13"/>
          <w:kern w:val="36"/>
          <w:sz w:val="44"/>
          <w:szCs w:val="57"/>
          <w:lang w:val="en-GB" w:eastAsia="en-GB"/>
        </w:rPr>
        <w:t>Part 7</w:t>
      </w:r>
      <w:r w:rsidR="00F57DF5" w:rsidRPr="00E965D1">
        <w:rPr>
          <w:rFonts w:ascii="Arial" w:hAnsi="Arial" w:cs="Arial"/>
          <w:b/>
          <w:bCs/>
          <w:color w:val="282828"/>
          <w:spacing w:val="-13"/>
          <w:kern w:val="36"/>
          <w:sz w:val="44"/>
          <w:szCs w:val="57"/>
          <w:lang w:val="en-GB" w:eastAsia="en-GB"/>
        </w:rPr>
        <w:t xml:space="preserve"> - material for practicing</w:t>
      </w:r>
    </w:p>
    <w:p w14:paraId="6EA7067F" w14:textId="131F5835" w:rsidR="008B1459" w:rsidRPr="00E965D1" w:rsidRDefault="008B1459" w:rsidP="008B1459">
      <w:pPr>
        <w:pStyle w:val="Odstavecseseznamem"/>
        <w:shd w:val="clear" w:color="auto" w:fill="FFFFFF"/>
        <w:spacing w:before="300" w:after="150"/>
        <w:ind w:left="0"/>
        <w:outlineLvl w:val="0"/>
        <w:rPr>
          <w:rFonts w:ascii="Arial" w:eastAsiaTheme="minorHAnsi" w:hAnsi="Arial" w:cs="Arial"/>
          <w:color w:val="282828"/>
          <w:sz w:val="26"/>
          <w:szCs w:val="26"/>
          <w:lang w:val="en-GB" w:eastAsia="en-US"/>
        </w:rPr>
      </w:pPr>
    </w:p>
    <w:p w14:paraId="0D131FFB" w14:textId="4D6C3474"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Wages with differentiated </w:t>
      </w:r>
      <w:proofErr w:type="gramStart"/>
      <w:r w:rsidRPr="00E965D1">
        <w:rPr>
          <w:rFonts w:ascii="Arial" w:eastAsiaTheme="minorHAnsi" w:hAnsi="Arial" w:cs="Arial"/>
          <w:color w:val="282828"/>
          <w:sz w:val="26"/>
          <w:szCs w:val="26"/>
          <w:lang w:val="en-GB" w:eastAsia="en-US"/>
        </w:rPr>
        <w:t>progress  -</w:t>
      </w:r>
      <w:proofErr w:type="gramEnd"/>
      <w:r w:rsidRPr="00E965D1">
        <w:rPr>
          <w:rFonts w:ascii="Arial" w:eastAsiaTheme="minorHAnsi" w:hAnsi="Arial" w:cs="Arial"/>
          <w:color w:val="282828"/>
          <w:sz w:val="26"/>
          <w:szCs w:val="26"/>
          <w:lang w:val="en-GB" w:eastAsia="en-US"/>
        </w:rPr>
        <w:t xml:space="preserve"> The worker is remunerated with a task wage for standard hours with a progressive course. It carries out work activities, which are classified into 2 tariff levels with a wage tariff of 160 CZK / hour. During the month, he worked 180 hours for the working </w:t>
      </w:r>
      <w:proofErr w:type="gramStart"/>
      <w:r w:rsidRPr="00E965D1">
        <w:rPr>
          <w:rFonts w:ascii="Arial" w:eastAsiaTheme="minorHAnsi" w:hAnsi="Arial" w:cs="Arial"/>
          <w:color w:val="282828"/>
          <w:sz w:val="26"/>
          <w:szCs w:val="26"/>
          <w:lang w:val="en-GB" w:eastAsia="en-US"/>
        </w:rPr>
        <w:t>hours</w:t>
      </w:r>
      <w:proofErr w:type="gramEnd"/>
      <w:r w:rsidRPr="00E965D1">
        <w:rPr>
          <w:rFonts w:ascii="Arial" w:eastAsiaTheme="minorHAnsi" w:hAnsi="Arial" w:cs="Arial"/>
          <w:color w:val="282828"/>
          <w:sz w:val="26"/>
          <w:szCs w:val="26"/>
          <w:lang w:val="en-GB" w:eastAsia="en-US"/>
        </w:rPr>
        <w:t xml:space="preserve"> fund 160 The course of the task curve depending on the </w:t>
      </w:r>
      <w:proofErr w:type="spellStart"/>
      <w:r w:rsidRPr="00E965D1">
        <w:rPr>
          <w:rFonts w:ascii="Arial" w:eastAsiaTheme="minorHAnsi" w:hAnsi="Arial" w:cs="Arial"/>
          <w:color w:val="282828"/>
          <w:sz w:val="26"/>
          <w:szCs w:val="26"/>
          <w:lang w:val="en-GB" w:eastAsia="en-US"/>
        </w:rPr>
        <w:t>fulfillment</w:t>
      </w:r>
      <w:proofErr w:type="spellEnd"/>
      <w:r w:rsidRPr="00E965D1">
        <w:rPr>
          <w:rFonts w:ascii="Arial" w:eastAsiaTheme="minorHAnsi" w:hAnsi="Arial" w:cs="Arial"/>
          <w:color w:val="282828"/>
          <w:sz w:val="26"/>
          <w:szCs w:val="26"/>
          <w:lang w:val="en-GB" w:eastAsia="en-US"/>
        </w:rPr>
        <w:t xml:space="preserve"> of performance standards is shown in the following table.</w:t>
      </w:r>
    </w:p>
    <w:p w14:paraId="6E5EFA88" w14:textId="7265BBD2" w:rsidR="00CD1DAD" w:rsidRPr="00E965D1" w:rsidRDefault="00CD1DAD"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tbl>
      <w:tblPr>
        <w:tblW w:w="0" w:type="auto"/>
        <w:jc w:val="center"/>
        <w:tblLayout w:type="fixed"/>
        <w:tblCellMar>
          <w:left w:w="30" w:type="dxa"/>
          <w:right w:w="30" w:type="dxa"/>
        </w:tblCellMar>
        <w:tblLook w:val="0000" w:firstRow="0" w:lastRow="0" w:firstColumn="0" w:lastColumn="0" w:noHBand="0" w:noVBand="0"/>
      </w:tblPr>
      <w:tblGrid>
        <w:gridCol w:w="4192"/>
        <w:gridCol w:w="2743"/>
      </w:tblGrid>
      <w:tr w:rsidR="007E2347" w:rsidRPr="00E965D1" w14:paraId="4527DD9C" w14:textId="77777777" w:rsidTr="007E2347">
        <w:tblPrEx>
          <w:tblCellMar>
            <w:top w:w="0" w:type="dxa"/>
            <w:bottom w:w="0" w:type="dxa"/>
          </w:tblCellMar>
        </w:tblPrEx>
        <w:trPr>
          <w:trHeight w:val="262"/>
          <w:jc w:val="center"/>
        </w:trPr>
        <w:tc>
          <w:tcPr>
            <w:tcW w:w="4192" w:type="dxa"/>
            <w:tcBorders>
              <w:top w:val="single" w:sz="12" w:space="0" w:color="auto"/>
              <w:left w:val="single" w:sz="12" w:space="0" w:color="auto"/>
              <w:bottom w:val="double" w:sz="6" w:space="0" w:color="auto"/>
              <w:right w:val="single" w:sz="6" w:space="0" w:color="auto"/>
            </w:tcBorders>
          </w:tcPr>
          <w:p w14:paraId="7B90D5F7" w14:textId="68A2BB96" w:rsidR="007E2347" w:rsidRPr="00E965D1" w:rsidRDefault="007E2347" w:rsidP="003C5739">
            <w:pPr>
              <w:jc w:val="center"/>
              <w:rPr>
                <w:rFonts w:ascii="Century Gothic" w:hAnsi="Century Gothic"/>
                <w:snapToGrid w:val="0"/>
                <w:color w:val="000000"/>
                <w:sz w:val="24"/>
                <w:lang w:val="en-GB"/>
              </w:rPr>
            </w:pPr>
            <w:proofErr w:type="spellStart"/>
            <w:r w:rsidRPr="00E965D1">
              <w:rPr>
                <w:rFonts w:ascii="Century Gothic" w:hAnsi="Century Gothic"/>
                <w:snapToGrid w:val="0"/>
                <w:color w:val="000000"/>
                <w:sz w:val="24"/>
                <w:lang w:val="en-GB"/>
              </w:rPr>
              <w:t>Fulfillment</w:t>
            </w:r>
            <w:proofErr w:type="spellEnd"/>
            <w:r w:rsidRPr="00E965D1">
              <w:rPr>
                <w:rFonts w:ascii="Century Gothic" w:hAnsi="Century Gothic"/>
                <w:snapToGrid w:val="0"/>
                <w:color w:val="000000"/>
                <w:sz w:val="24"/>
                <w:lang w:val="en-GB"/>
              </w:rPr>
              <w:t xml:space="preserve"> of performance standards in%</w:t>
            </w:r>
          </w:p>
        </w:tc>
        <w:tc>
          <w:tcPr>
            <w:tcW w:w="2743" w:type="dxa"/>
            <w:tcBorders>
              <w:top w:val="single" w:sz="12" w:space="0" w:color="auto"/>
              <w:left w:val="single" w:sz="6" w:space="0" w:color="auto"/>
              <w:bottom w:val="double" w:sz="6" w:space="0" w:color="auto"/>
              <w:right w:val="single" w:sz="12" w:space="0" w:color="auto"/>
            </w:tcBorders>
          </w:tcPr>
          <w:p w14:paraId="7E6D60CF" w14:textId="1EF2C2DB" w:rsidR="007E2347" w:rsidRPr="00E965D1" w:rsidRDefault="007E2347" w:rsidP="003C5739">
            <w:pPr>
              <w:jc w:val="center"/>
              <w:rPr>
                <w:rFonts w:ascii="Century Gothic" w:hAnsi="Century Gothic"/>
                <w:snapToGrid w:val="0"/>
                <w:color w:val="000000"/>
                <w:sz w:val="24"/>
                <w:lang w:val="en-GB"/>
              </w:rPr>
            </w:pPr>
            <w:r w:rsidRPr="00E965D1">
              <w:rPr>
                <w:rFonts w:ascii="Century Gothic" w:hAnsi="Century Gothic"/>
                <w:snapToGrid w:val="0"/>
                <w:color w:val="000000"/>
                <w:sz w:val="24"/>
                <w:lang w:val="en-GB"/>
              </w:rPr>
              <w:t>Wage tariff increase (%)</w:t>
            </w:r>
          </w:p>
        </w:tc>
      </w:tr>
      <w:tr w:rsidR="007E2347" w:rsidRPr="00E965D1" w14:paraId="5A58036A" w14:textId="77777777" w:rsidTr="007E2347">
        <w:tblPrEx>
          <w:tblCellMar>
            <w:top w:w="0" w:type="dxa"/>
            <w:bottom w:w="0" w:type="dxa"/>
          </w:tblCellMar>
        </w:tblPrEx>
        <w:trPr>
          <w:trHeight w:val="262"/>
          <w:jc w:val="center"/>
        </w:trPr>
        <w:tc>
          <w:tcPr>
            <w:tcW w:w="4192" w:type="dxa"/>
            <w:tcBorders>
              <w:left w:val="single" w:sz="12" w:space="0" w:color="auto"/>
              <w:bottom w:val="single" w:sz="6" w:space="0" w:color="auto"/>
              <w:right w:val="single" w:sz="6" w:space="0" w:color="auto"/>
            </w:tcBorders>
          </w:tcPr>
          <w:p w14:paraId="256D7F9E" w14:textId="77777777" w:rsidR="007E2347" w:rsidRPr="00E965D1" w:rsidRDefault="007E2347" w:rsidP="003C5739">
            <w:pPr>
              <w:rPr>
                <w:rFonts w:ascii="Century Gothic" w:hAnsi="Century Gothic"/>
                <w:snapToGrid w:val="0"/>
                <w:color w:val="000000"/>
                <w:sz w:val="24"/>
                <w:lang w:val="en-GB"/>
              </w:rPr>
            </w:pPr>
            <w:r w:rsidRPr="00E965D1">
              <w:rPr>
                <w:rFonts w:ascii="Century Gothic" w:hAnsi="Century Gothic"/>
                <w:snapToGrid w:val="0"/>
                <w:color w:val="000000"/>
                <w:sz w:val="24"/>
                <w:lang w:val="en-GB"/>
              </w:rPr>
              <w:t xml:space="preserve">Od 100,0 </w:t>
            </w:r>
            <w:proofErr w:type="spellStart"/>
            <w:r w:rsidRPr="00E965D1">
              <w:rPr>
                <w:rFonts w:ascii="Century Gothic" w:hAnsi="Century Gothic"/>
                <w:snapToGrid w:val="0"/>
                <w:color w:val="000000"/>
                <w:sz w:val="24"/>
                <w:lang w:val="en-GB"/>
              </w:rPr>
              <w:t>do</w:t>
            </w:r>
            <w:proofErr w:type="spellEnd"/>
            <w:r w:rsidRPr="00E965D1">
              <w:rPr>
                <w:rFonts w:ascii="Century Gothic" w:hAnsi="Century Gothic"/>
                <w:snapToGrid w:val="0"/>
                <w:color w:val="000000"/>
                <w:sz w:val="24"/>
                <w:lang w:val="en-GB"/>
              </w:rPr>
              <w:t xml:space="preserve"> 105,0</w:t>
            </w:r>
          </w:p>
        </w:tc>
        <w:tc>
          <w:tcPr>
            <w:tcW w:w="2743" w:type="dxa"/>
            <w:tcBorders>
              <w:left w:val="single" w:sz="6" w:space="0" w:color="auto"/>
              <w:bottom w:val="single" w:sz="6" w:space="0" w:color="auto"/>
              <w:right w:val="single" w:sz="12" w:space="0" w:color="auto"/>
            </w:tcBorders>
          </w:tcPr>
          <w:p w14:paraId="74C590FC" w14:textId="77777777" w:rsidR="007E2347" w:rsidRPr="00E965D1" w:rsidRDefault="007E2347" w:rsidP="003C5739">
            <w:pPr>
              <w:jc w:val="center"/>
              <w:rPr>
                <w:rFonts w:ascii="Century Gothic" w:hAnsi="Century Gothic"/>
                <w:color w:val="000000"/>
                <w:sz w:val="24"/>
                <w:lang w:val="en-GB"/>
              </w:rPr>
            </w:pPr>
            <w:r w:rsidRPr="00E965D1">
              <w:rPr>
                <w:rFonts w:ascii="Century Gothic" w:hAnsi="Century Gothic"/>
                <w:snapToGrid w:val="0"/>
                <w:color w:val="000000"/>
                <w:sz w:val="24"/>
                <w:lang w:val="en-GB"/>
              </w:rPr>
              <w:t>10</w:t>
            </w:r>
          </w:p>
        </w:tc>
      </w:tr>
      <w:tr w:rsidR="007E2347" w:rsidRPr="00E965D1" w14:paraId="4FDDBC09" w14:textId="77777777" w:rsidTr="007E2347">
        <w:tblPrEx>
          <w:tblCellMar>
            <w:top w:w="0" w:type="dxa"/>
            <w:bottom w:w="0" w:type="dxa"/>
          </w:tblCellMar>
        </w:tblPrEx>
        <w:trPr>
          <w:trHeight w:val="247"/>
          <w:jc w:val="center"/>
        </w:trPr>
        <w:tc>
          <w:tcPr>
            <w:tcW w:w="4192" w:type="dxa"/>
            <w:tcBorders>
              <w:top w:val="single" w:sz="6" w:space="0" w:color="auto"/>
              <w:left w:val="single" w:sz="12" w:space="0" w:color="auto"/>
              <w:bottom w:val="single" w:sz="6" w:space="0" w:color="auto"/>
              <w:right w:val="single" w:sz="6" w:space="0" w:color="auto"/>
            </w:tcBorders>
          </w:tcPr>
          <w:p w14:paraId="7D87DAB0" w14:textId="77777777" w:rsidR="007E2347" w:rsidRPr="00E965D1" w:rsidRDefault="007E2347" w:rsidP="003C5739">
            <w:pPr>
              <w:rPr>
                <w:rFonts w:ascii="Century Gothic" w:hAnsi="Century Gothic"/>
                <w:snapToGrid w:val="0"/>
                <w:color w:val="000000"/>
                <w:sz w:val="24"/>
                <w:lang w:val="en-GB"/>
              </w:rPr>
            </w:pPr>
            <w:r w:rsidRPr="00E965D1">
              <w:rPr>
                <w:rFonts w:ascii="Century Gothic" w:hAnsi="Century Gothic"/>
                <w:snapToGrid w:val="0"/>
                <w:color w:val="000000"/>
                <w:sz w:val="24"/>
                <w:lang w:val="en-GB"/>
              </w:rPr>
              <w:t xml:space="preserve">Od 105,0000001 </w:t>
            </w:r>
            <w:proofErr w:type="spellStart"/>
            <w:r w:rsidRPr="00E965D1">
              <w:rPr>
                <w:rFonts w:ascii="Century Gothic" w:hAnsi="Century Gothic"/>
                <w:snapToGrid w:val="0"/>
                <w:color w:val="000000"/>
                <w:sz w:val="24"/>
                <w:lang w:val="en-GB"/>
              </w:rPr>
              <w:t>do</w:t>
            </w:r>
            <w:proofErr w:type="spellEnd"/>
            <w:r w:rsidRPr="00E965D1">
              <w:rPr>
                <w:rFonts w:ascii="Century Gothic" w:hAnsi="Century Gothic"/>
                <w:snapToGrid w:val="0"/>
                <w:color w:val="000000"/>
                <w:sz w:val="24"/>
                <w:lang w:val="en-GB"/>
              </w:rPr>
              <w:t xml:space="preserve"> 110,0</w:t>
            </w:r>
          </w:p>
        </w:tc>
        <w:tc>
          <w:tcPr>
            <w:tcW w:w="2743" w:type="dxa"/>
            <w:tcBorders>
              <w:top w:val="single" w:sz="6" w:space="0" w:color="auto"/>
              <w:left w:val="single" w:sz="6" w:space="0" w:color="auto"/>
              <w:bottom w:val="single" w:sz="6" w:space="0" w:color="auto"/>
              <w:right w:val="single" w:sz="12" w:space="0" w:color="auto"/>
            </w:tcBorders>
          </w:tcPr>
          <w:p w14:paraId="5FDD8254" w14:textId="77777777" w:rsidR="007E2347" w:rsidRPr="00E965D1" w:rsidRDefault="007E2347" w:rsidP="003C5739">
            <w:pPr>
              <w:jc w:val="center"/>
              <w:rPr>
                <w:rFonts w:ascii="Century Gothic" w:hAnsi="Century Gothic"/>
                <w:color w:val="000000"/>
                <w:sz w:val="24"/>
                <w:lang w:val="en-GB"/>
              </w:rPr>
            </w:pPr>
            <w:r w:rsidRPr="00E965D1">
              <w:rPr>
                <w:rFonts w:ascii="Century Gothic" w:hAnsi="Century Gothic"/>
                <w:snapToGrid w:val="0"/>
                <w:color w:val="000000"/>
                <w:sz w:val="24"/>
                <w:lang w:val="en-GB"/>
              </w:rPr>
              <w:t>15</w:t>
            </w:r>
          </w:p>
        </w:tc>
      </w:tr>
      <w:tr w:rsidR="007E2347" w:rsidRPr="00E965D1" w14:paraId="49F3973B" w14:textId="77777777" w:rsidTr="007E2347">
        <w:tblPrEx>
          <w:tblCellMar>
            <w:top w:w="0" w:type="dxa"/>
            <w:bottom w:w="0" w:type="dxa"/>
          </w:tblCellMar>
        </w:tblPrEx>
        <w:trPr>
          <w:trHeight w:val="247"/>
          <w:jc w:val="center"/>
        </w:trPr>
        <w:tc>
          <w:tcPr>
            <w:tcW w:w="4192" w:type="dxa"/>
            <w:tcBorders>
              <w:top w:val="single" w:sz="6" w:space="0" w:color="auto"/>
              <w:left w:val="single" w:sz="12" w:space="0" w:color="auto"/>
              <w:bottom w:val="single" w:sz="6" w:space="0" w:color="auto"/>
              <w:right w:val="single" w:sz="6" w:space="0" w:color="auto"/>
            </w:tcBorders>
          </w:tcPr>
          <w:p w14:paraId="08839837" w14:textId="77777777" w:rsidR="007E2347" w:rsidRPr="00E965D1" w:rsidRDefault="007E2347" w:rsidP="003C5739">
            <w:pPr>
              <w:rPr>
                <w:rFonts w:ascii="Century Gothic" w:hAnsi="Century Gothic"/>
                <w:snapToGrid w:val="0"/>
                <w:color w:val="000000"/>
                <w:sz w:val="24"/>
                <w:lang w:val="en-GB"/>
              </w:rPr>
            </w:pPr>
            <w:r w:rsidRPr="00E965D1">
              <w:rPr>
                <w:rFonts w:ascii="Century Gothic" w:hAnsi="Century Gothic"/>
                <w:snapToGrid w:val="0"/>
                <w:color w:val="000000"/>
                <w:sz w:val="24"/>
                <w:lang w:val="en-GB"/>
              </w:rPr>
              <w:t xml:space="preserve">Od 110,0000001 </w:t>
            </w:r>
            <w:proofErr w:type="spellStart"/>
            <w:r w:rsidRPr="00E965D1">
              <w:rPr>
                <w:rFonts w:ascii="Century Gothic" w:hAnsi="Century Gothic"/>
                <w:snapToGrid w:val="0"/>
                <w:color w:val="000000"/>
                <w:sz w:val="24"/>
                <w:lang w:val="en-GB"/>
              </w:rPr>
              <w:t>do</w:t>
            </w:r>
            <w:proofErr w:type="spellEnd"/>
            <w:r w:rsidRPr="00E965D1">
              <w:rPr>
                <w:rFonts w:ascii="Century Gothic" w:hAnsi="Century Gothic"/>
                <w:snapToGrid w:val="0"/>
                <w:color w:val="000000"/>
                <w:sz w:val="24"/>
                <w:lang w:val="en-GB"/>
              </w:rPr>
              <w:t xml:space="preserve"> 115,0</w:t>
            </w:r>
          </w:p>
        </w:tc>
        <w:tc>
          <w:tcPr>
            <w:tcW w:w="2743" w:type="dxa"/>
            <w:tcBorders>
              <w:top w:val="single" w:sz="6" w:space="0" w:color="auto"/>
              <w:left w:val="single" w:sz="6" w:space="0" w:color="auto"/>
              <w:bottom w:val="single" w:sz="6" w:space="0" w:color="auto"/>
              <w:right w:val="single" w:sz="12" w:space="0" w:color="auto"/>
            </w:tcBorders>
          </w:tcPr>
          <w:p w14:paraId="3B731B85" w14:textId="77777777" w:rsidR="007E2347" w:rsidRPr="00E965D1" w:rsidRDefault="007E2347" w:rsidP="003C5739">
            <w:pPr>
              <w:jc w:val="center"/>
              <w:rPr>
                <w:rFonts w:ascii="Century Gothic" w:hAnsi="Century Gothic"/>
                <w:color w:val="000000"/>
                <w:sz w:val="24"/>
                <w:lang w:val="en-GB"/>
              </w:rPr>
            </w:pPr>
            <w:r w:rsidRPr="00E965D1">
              <w:rPr>
                <w:rFonts w:ascii="Century Gothic" w:hAnsi="Century Gothic"/>
                <w:snapToGrid w:val="0"/>
                <w:color w:val="000000"/>
                <w:sz w:val="24"/>
                <w:lang w:val="en-GB"/>
              </w:rPr>
              <w:t>25</w:t>
            </w:r>
          </w:p>
        </w:tc>
      </w:tr>
      <w:tr w:rsidR="007E2347" w:rsidRPr="00E965D1" w14:paraId="0F4ABF96" w14:textId="77777777" w:rsidTr="007E2347">
        <w:tblPrEx>
          <w:tblCellMar>
            <w:top w:w="0" w:type="dxa"/>
            <w:bottom w:w="0" w:type="dxa"/>
          </w:tblCellMar>
        </w:tblPrEx>
        <w:trPr>
          <w:trHeight w:val="262"/>
          <w:jc w:val="center"/>
        </w:trPr>
        <w:tc>
          <w:tcPr>
            <w:tcW w:w="4192" w:type="dxa"/>
            <w:tcBorders>
              <w:top w:val="single" w:sz="6" w:space="0" w:color="auto"/>
              <w:left w:val="single" w:sz="12" w:space="0" w:color="auto"/>
              <w:bottom w:val="single" w:sz="12" w:space="0" w:color="auto"/>
              <w:right w:val="single" w:sz="6" w:space="0" w:color="auto"/>
            </w:tcBorders>
          </w:tcPr>
          <w:p w14:paraId="20FD8B13" w14:textId="77777777" w:rsidR="007E2347" w:rsidRPr="00E965D1" w:rsidRDefault="007E2347" w:rsidP="003C5739">
            <w:pPr>
              <w:rPr>
                <w:rFonts w:ascii="Century Gothic" w:hAnsi="Century Gothic"/>
                <w:snapToGrid w:val="0"/>
                <w:color w:val="000000"/>
                <w:sz w:val="24"/>
                <w:lang w:val="en-GB"/>
              </w:rPr>
            </w:pPr>
            <w:r w:rsidRPr="00E965D1">
              <w:rPr>
                <w:rFonts w:ascii="Century Gothic" w:hAnsi="Century Gothic"/>
                <w:snapToGrid w:val="0"/>
                <w:color w:val="000000"/>
                <w:sz w:val="24"/>
                <w:lang w:val="en-GB"/>
              </w:rPr>
              <w:t xml:space="preserve">Od 115,0000001 a </w:t>
            </w:r>
            <w:proofErr w:type="spellStart"/>
            <w:r w:rsidRPr="00E965D1">
              <w:rPr>
                <w:rFonts w:ascii="Century Gothic" w:hAnsi="Century Gothic"/>
                <w:snapToGrid w:val="0"/>
                <w:color w:val="000000"/>
                <w:sz w:val="24"/>
                <w:lang w:val="en-GB"/>
              </w:rPr>
              <w:t>více</w:t>
            </w:r>
            <w:proofErr w:type="spellEnd"/>
          </w:p>
        </w:tc>
        <w:tc>
          <w:tcPr>
            <w:tcW w:w="2743" w:type="dxa"/>
            <w:tcBorders>
              <w:top w:val="single" w:sz="6" w:space="0" w:color="auto"/>
              <w:left w:val="single" w:sz="6" w:space="0" w:color="auto"/>
              <w:bottom w:val="single" w:sz="12" w:space="0" w:color="auto"/>
              <w:right w:val="single" w:sz="12" w:space="0" w:color="auto"/>
            </w:tcBorders>
          </w:tcPr>
          <w:p w14:paraId="39CD2D2C" w14:textId="77777777" w:rsidR="007E2347" w:rsidRPr="00E965D1" w:rsidRDefault="007E2347" w:rsidP="003C5739">
            <w:pPr>
              <w:jc w:val="center"/>
              <w:rPr>
                <w:rFonts w:ascii="Century Gothic" w:hAnsi="Century Gothic"/>
                <w:color w:val="000000"/>
                <w:sz w:val="24"/>
                <w:lang w:val="en-GB"/>
              </w:rPr>
            </w:pPr>
            <w:r w:rsidRPr="00E965D1">
              <w:rPr>
                <w:rFonts w:ascii="Century Gothic" w:hAnsi="Century Gothic"/>
                <w:snapToGrid w:val="0"/>
                <w:color w:val="000000"/>
                <w:sz w:val="24"/>
                <w:lang w:val="en-GB"/>
              </w:rPr>
              <w:t>30</w:t>
            </w:r>
          </w:p>
        </w:tc>
      </w:tr>
    </w:tbl>
    <w:p w14:paraId="5EFD1A9F" w14:textId="335A3941"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Task: Calculate gross monthly wage if:</w:t>
      </w:r>
    </w:p>
    <w:p w14:paraId="27535213"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2EF31D81" w14:textId="64A5B5F3" w:rsidR="007E2347" w:rsidRPr="00E965D1" w:rsidRDefault="007E2347" w:rsidP="00E965D1">
      <w:pPr>
        <w:pStyle w:val="Odstavecseseznamem"/>
        <w:numPr>
          <w:ilvl w:val="0"/>
          <w:numId w:val="4"/>
        </w:numPr>
        <w:shd w:val="clear" w:color="auto" w:fill="FFFFFF"/>
        <w:spacing w:before="300" w:after="150"/>
        <w:ind w:left="108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The increased wage tariff pays the entire paid output</w:t>
      </w:r>
    </w:p>
    <w:p w14:paraId="444204F7" w14:textId="77777777" w:rsidR="007E2347" w:rsidRPr="00E965D1" w:rsidRDefault="007E2347" w:rsidP="007E2347">
      <w:pPr>
        <w:pStyle w:val="Odstavecseseznamem"/>
        <w:shd w:val="clear" w:color="auto" w:fill="FFFFFF"/>
        <w:spacing w:before="300" w:after="150"/>
        <w:ind w:left="1080"/>
        <w:outlineLvl w:val="0"/>
        <w:rPr>
          <w:rFonts w:ascii="Arial" w:eastAsiaTheme="minorHAnsi" w:hAnsi="Arial" w:cs="Arial"/>
          <w:color w:val="282828"/>
          <w:sz w:val="26"/>
          <w:szCs w:val="26"/>
          <w:lang w:val="en-GB" w:eastAsia="en-US"/>
        </w:rPr>
      </w:pPr>
    </w:p>
    <w:p w14:paraId="7D8C7FE6" w14:textId="77777777" w:rsidR="007E2347" w:rsidRPr="00E965D1" w:rsidRDefault="007E2347" w:rsidP="00E965D1">
      <w:pPr>
        <w:pStyle w:val="Odstavecseseznamem"/>
        <w:numPr>
          <w:ilvl w:val="0"/>
          <w:numId w:val="4"/>
        </w:numPr>
        <w:shd w:val="clear" w:color="auto" w:fill="FFFFFF"/>
        <w:spacing w:before="300" w:after="150"/>
        <w:ind w:left="108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The increased wage rate only pays the performance paid above 100% of the standard </w:t>
      </w:r>
      <w:proofErr w:type="spellStart"/>
      <w:r w:rsidRPr="00E965D1">
        <w:rPr>
          <w:rFonts w:ascii="Arial" w:eastAsiaTheme="minorHAnsi" w:hAnsi="Arial" w:cs="Arial"/>
          <w:color w:val="282828"/>
          <w:sz w:val="26"/>
          <w:szCs w:val="26"/>
          <w:lang w:val="en-GB" w:eastAsia="en-US"/>
        </w:rPr>
        <w:t>fulfillment</w:t>
      </w:r>
      <w:proofErr w:type="spellEnd"/>
      <w:r w:rsidRPr="00E965D1">
        <w:rPr>
          <w:rFonts w:ascii="Arial" w:eastAsiaTheme="minorHAnsi" w:hAnsi="Arial" w:cs="Arial"/>
          <w:color w:val="282828"/>
          <w:sz w:val="26"/>
          <w:szCs w:val="26"/>
          <w:lang w:val="en-GB" w:eastAsia="en-US"/>
        </w:rPr>
        <w:t xml:space="preserve"> </w:t>
      </w:r>
    </w:p>
    <w:p w14:paraId="0BF6FB63" w14:textId="77777777" w:rsidR="007E2347" w:rsidRPr="00E965D1" w:rsidRDefault="007E2347" w:rsidP="007E2347">
      <w:pPr>
        <w:pStyle w:val="Odstavecseseznamem"/>
        <w:ind w:left="360"/>
        <w:rPr>
          <w:rFonts w:ascii="Arial" w:eastAsiaTheme="minorHAnsi" w:hAnsi="Arial" w:cs="Arial"/>
          <w:color w:val="282828"/>
          <w:sz w:val="26"/>
          <w:szCs w:val="26"/>
          <w:lang w:val="en-GB" w:eastAsia="en-US"/>
        </w:rPr>
      </w:pPr>
    </w:p>
    <w:p w14:paraId="43E34B78" w14:textId="1972D873" w:rsidR="00CD1DAD" w:rsidRPr="00E965D1" w:rsidRDefault="007E2347" w:rsidP="00E965D1">
      <w:pPr>
        <w:pStyle w:val="Odstavecseseznamem"/>
        <w:numPr>
          <w:ilvl w:val="0"/>
          <w:numId w:val="4"/>
        </w:numPr>
        <w:shd w:val="clear" w:color="auto" w:fill="FFFFFF"/>
        <w:spacing w:before="300" w:after="150"/>
        <w:ind w:left="108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The i</w:t>
      </w:r>
      <w:r w:rsidRPr="00E965D1">
        <w:rPr>
          <w:rFonts w:ascii="Arial" w:eastAsiaTheme="minorHAnsi" w:hAnsi="Arial" w:cs="Arial"/>
          <w:color w:val="282828"/>
          <w:sz w:val="26"/>
          <w:szCs w:val="26"/>
          <w:lang w:val="en-GB" w:eastAsia="en-US"/>
        </w:rPr>
        <w:t xml:space="preserve">ncreased wage scales pay for performances according to individual bands of </w:t>
      </w:r>
      <w:proofErr w:type="spellStart"/>
      <w:r w:rsidRPr="00E965D1">
        <w:rPr>
          <w:rFonts w:ascii="Arial" w:eastAsiaTheme="minorHAnsi" w:hAnsi="Arial" w:cs="Arial"/>
          <w:color w:val="282828"/>
          <w:sz w:val="26"/>
          <w:szCs w:val="26"/>
          <w:lang w:val="en-GB" w:eastAsia="en-US"/>
        </w:rPr>
        <w:t>fulfillment</w:t>
      </w:r>
      <w:proofErr w:type="spellEnd"/>
      <w:r w:rsidRPr="00E965D1">
        <w:rPr>
          <w:rFonts w:ascii="Arial" w:eastAsiaTheme="minorHAnsi" w:hAnsi="Arial" w:cs="Arial"/>
          <w:color w:val="282828"/>
          <w:sz w:val="26"/>
          <w:szCs w:val="26"/>
          <w:lang w:val="en-GB" w:eastAsia="en-US"/>
        </w:rPr>
        <w:t xml:space="preserve"> of performance standards above 100% performance</w:t>
      </w:r>
    </w:p>
    <w:p w14:paraId="4874C001" w14:textId="77777777" w:rsidR="00CD1DAD" w:rsidRPr="00E965D1" w:rsidRDefault="00CD1DAD" w:rsidP="007E2347">
      <w:pPr>
        <w:pStyle w:val="Odstavecseseznamem"/>
        <w:shd w:val="clear" w:color="auto" w:fill="FFFFFF"/>
        <w:spacing w:before="300" w:after="150"/>
        <w:ind w:left="0"/>
        <w:outlineLvl w:val="0"/>
        <w:rPr>
          <w:rFonts w:ascii="Arial" w:eastAsiaTheme="minorHAnsi" w:hAnsi="Arial" w:cs="Arial"/>
          <w:color w:val="282828"/>
          <w:sz w:val="26"/>
          <w:szCs w:val="26"/>
          <w:lang w:val="en-GB" w:eastAsia="en-US"/>
        </w:rPr>
      </w:pPr>
    </w:p>
    <w:p w14:paraId="28F11784" w14:textId="3F71FB32" w:rsidR="00B75268" w:rsidRPr="00E965D1" w:rsidRDefault="00B75268"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12BE77F2" w14:textId="2C61D0AF"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F8F9BE2" w14:textId="125965B2"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0A9F24B3" w14:textId="1CE1E29C"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20BF459A" w14:textId="1110304B"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51956C2" w14:textId="7ACDC2DC"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2B95A99" w14:textId="4A71EF0A"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0FEC3B89" w14:textId="5331ABDC"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339B0418" w14:textId="6ACC9AE1"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65EA4D8" w14:textId="78D79297"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011FB148" w14:textId="4C477284"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6C01098B" w14:textId="41DFE1CE"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4E67693" w14:textId="77777777" w:rsidR="007E2347" w:rsidRPr="00E965D1" w:rsidRDefault="007E2347" w:rsidP="00B75268">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669E5977" w14:textId="0223C88D"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Case study</w:t>
      </w:r>
      <w:r w:rsidRPr="00E965D1">
        <w:rPr>
          <w:rFonts w:ascii="Arial" w:eastAsiaTheme="minorHAnsi" w:hAnsi="Arial" w:cs="Arial"/>
          <w:color w:val="282828"/>
          <w:sz w:val="26"/>
          <w:szCs w:val="26"/>
          <w:lang w:val="en-GB" w:eastAsia="en-US"/>
        </w:rPr>
        <w:t xml:space="preserve"> -  </w:t>
      </w:r>
      <w:r w:rsidRPr="00E965D1">
        <w:rPr>
          <w:rFonts w:ascii="Arial" w:eastAsiaTheme="minorHAnsi" w:hAnsi="Arial" w:cs="Arial"/>
          <w:color w:val="282828"/>
          <w:sz w:val="26"/>
          <w:szCs w:val="26"/>
          <w:lang w:val="en-GB" w:eastAsia="en-US"/>
        </w:rPr>
        <w:t>You have a production company ABC. The legal form of the company is a limited liability company. The registered capital of the company is CZK 25 million. The company director is also its sole owner.</w:t>
      </w:r>
    </w:p>
    <w:p w14:paraId="0C64685F" w14:textId="01A1EAA0" w:rsidR="00C6152D"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The business of the company is the production of special luxury kitchen appliances. The company focuses on quality, innovation and creative ideas, employee activity. The company is economically oriented to the growth of sales. The company has 53 employees. Their structure is shown in the following table. The estimated revenues are CZK 95 million.</w:t>
      </w:r>
    </w:p>
    <w:p w14:paraId="3BB2A436" w14:textId="66D02A33"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5AEFD5A5" w14:textId="582B6433"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p>
    <w:tbl>
      <w:tblPr>
        <w:tblW w:w="914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984"/>
      </w:tblGrid>
      <w:tr w:rsidR="007E2347" w:rsidRPr="00E965D1" w14:paraId="76B051BC" w14:textId="77777777" w:rsidTr="007E2347">
        <w:tblPrEx>
          <w:tblCellMar>
            <w:top w:w="0" w:type="dxa"/>
            <w:bottom w:w="0" w:type="dxa"/>
          </w:tblCellMar>
        </w:tblPrEx>
        <w:trPr>
          <w:trHeight w:val="454"/>
        </w:trPr>
        <w:tc>
          <w:tcPr>
            <w:tcW w:w="7158" w:type="dxa"/>
          </w:tcPr>
          <w:p w14:paraId="0A69CD82"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Job classification Number</w:t>
            </w:r>
          </w:p>
        </w:tc>
        <w:tc>
          <w:tcPr>
            <w:tcW w:w="1984" w:type="dxa"/>
            <w:vAlign w:val="center"/>
          </w:tcPr>
          <w:p w14:paraId="17FD97AC"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Number</w:t>
            </w:r>
          </w:p>
        </w:tc>
      </w:tr>
      <w:tr w:rsidR="007E2347" w:rsidRPr="00E965D1" w14:paraId="6AF27B8E" w14:textId="77777777" w:rsidTr="007E2347">
        <w:tblPrEx>
          <w:tblCellMar>
            <w:top w:w="0" w:type="dxa"/>
            <w:bottom w:w="0" w:type="dxa"/>
          </w:tblCellMar>
        </w:tblPrEx>
        <w:trPr>
          <w:trHeight w:val="375"/>
        </w:trPr>
        <w:tc>
          <w:tcPr>
            <w:tcW w:w="7158" w:type="dxa"/>
          </w:tcPr>
          <w:p w14:paraId="653C9899"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Workers for special machines</w:t>
            </w:r>
          </w:p>
        </w:tc>
        <w:tc>
          <w:tcPr>
            <w:tcW w:w="1984" w:type="dxa"/>
            <w:vAlign w:val="bottom"/>
          </w:tcPr>
          <w:p w14:paraId="60B716CC"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17</w:t>
            </w:r>
          </w:p>
        </w:tc>
      </w:tr>
      <w:tr w:rsidR="007E2347" w:rsidRPr="00E965D1" w14:paraId="0E08A4F2" w14:textId="77777777" w:rsidTr="007E2347">
        <w:tblPrEx>
          <w:tblCellMar>
            <w:top w:w="0" w:type="dxa"/>
            <w:bottom w:w="0" w:type="dxa"/>
          </w:tblCellMar>
        </w:tblPrEx>
        <w:trPr>
          <w:trHeight w:val="375"/>
        </w:trPr>
        <w:tc>
          <w:tcPr>
            <w:tcW w:w="7158" w:type="dxa"/>
          </w:tcPr>
          <w:p w14:paraId="737AE28E"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foreman</w:t>
            </w:r>
          </w:p>
        </w:tc>
        <w:tc>
          <w:tcPr>
            <w:tcW w:w="1984" w:type="dxa"/>
            <w:vAlign w:val="bottom"/>
          </w:tcPr>
          <w:p w14:paraId="4C52580C"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4</w:t>
            </w:r>
          </w:p>
        </w:tc>
      </w:tr>
      <w:tr w:rsidR="007E2347" w:rsidRPr="00E965D1" w14:paraId="48CD5CEC" w14:textId="77777777" w:rsidTr="007E2347">
        <w:tblPrEx>
          <w:tblCellMar>
            <w:top w:w="0" w:type="dxa"/>
            <w:bottom w:w="0" w:type="dxa"/>
          </w:tblCellMar>
        </w:tblPrEx>
        <w:trPr>
          <w:trHeight w:val="375"/>
        </w:trPr>
        <w:tc>
          <w:tcPr>
            <w:tcW w:w="7158" w:type="dxa"/>
          </w:tcPr>
          <w:p w14:paraId="7CAC908E"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Auxiliary workers and expedition workers </w:t>
            </w:r>
          </w:p>
        </w:tc>
        <w:tc>
          <w:tcPr>
            <w:tcW w:w="1984" w:type="dxa"/>
            <w:vAlign w:val="bottom"/>
          </w:tcPr>
          <w:p w14:paraId="0332A415"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12</w:t>
            </w:r>
          </w:p>
        </w:tc>
      </w:tr>
      <w:tr w:rsidR="007E2347" w:rsidRPr="00E965D1" w14:paraId="2BBD41A1" w14:textId="77777777" w:rsidTr="007E2347">
        <w:tblPrEx>
          <w:tblCellMar>
            <w:top w:w="0" w:type="dxa"/>
            <w:bottom w:w="0" w:type="dxa"/>
          </w:tblCellMar>
        </w:tblPrEx>
        <w:trPr>
          <w:trHeight w:val="375"/>
        </w:trPr>
        <w:tc>
          <w:tcPr>
            <w:tcW w:w="7158" w:type="dxa"/>
          </w:tcPr>
          <w:p w14:paraId="0972926C"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support staff </w:t>
            </w:r>
          </w:p>
        </w:tc>
        <w:tc>
          <w:tcPr>
            <w:tcW w:w="1984" w:type="dxa"/>
            <w:vAlign w:val="bottom"/>
          </w:tcPr>
          <w:p w14:paraId="0B67E4B2"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4</w:t>
            </w:r>
          </w:p>
        </w:tc>
      </w:tr>
      <w:tr w:rsidR="007E2347" w:rsidRPr="00E965D1" w14:paraId="7CEFC4CC" w14:textId="77777777" w:rsidTr="007E2347">
        <w:tblPrEx>
          <w:tblCellMar>
            <w:top w:w="0" w:type="dxa"/>
            <w:bottom w:w="0" w:type="dxa"/>
          </w:tblCellMar>
        </w:tblPrEx>
        <w:trPr>
          <w:trHeight w:val="375"/>
        </w:trPr>
        <w:tc>
          <w:tcPr>
            <w:tcW w:w="7158" w:type="dxa"/>
          </w:tcPr>
          <w:p w14:paraId="168B8379"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Development </w:t>
            </w:r>
          </w:p>
        </w:tc>
        <w:tc>
          <w:tcPr>
            <w:tcW w:w="1984" w:type="dxa"/>
            <w:vAlign w:val="bottom"/>
          </w:tcPr>
          <w:p w14:paraId="013F8577"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5</w:t>
            </w:r>
          </w:p>
        </w:tc>
      </w:tr>
      <w:tr w:rsidR="007E2347" w:rsidRPr="00E965D1" w14:paraId="7EB30784" w14:textId="77777777" w:rsidTr="007E2347">
        <w:tblPrEx>
          <w:tblCellMar>
            <w:top w:w="0" w:type="dxa"/>
            <w:bottom w:w="0" w:type="dxa"/>
          </w:tblCellMar>
        </w:tblPrEx>
        <w:trPr>
          <w:trHeight w:val="375"/>
        </w:trPr>
        <w:tc>
          <w:tcPr>
            <w:tcW w:w="7158" w:type="dxa"/>
          </w:tcPr>
          <w:p w14:paraId="155DCA83"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administrative personnel + sales representatives </w:t>
            </w:r>
          </w:p>
        </w:tc>
        <w:tc>
          <w:tcPr>
            <w:tcW w:w="1984" w:type="dxa"/>
            <w:vAlign w:val="bottom"/>
          </w:tcPr>
          <w:p w14:paraId="4A2EC11B"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8</w:t>
            </w:r>
          </w:p>
        </w:tc>
      </w:tr>
      <w:tr w:rsidR="007E2347" w:rsidRPr="00E965D1" w14:paraId="76F335E4" w14:textId="77777777" w:rsidTr="007E2347">
        <w:tblPrEx>
          <w:tblCellMar>
            <w:top w:w="0" w:type="dxa"/>
            <w:bottom w:w="0" w:type="dxa"/>
          </w:tblCellMar>
        </w:tblPrEx>
        <w:trPr>
          <w:trHeight w:val="375"/>
        </w:trPr>
        <w:tc>
          <w:tcPr>
            <w:tcW w:w="7158" w:type="dxa"/>
          </w:tcPr>
          <w:p w14:paraId="35344392"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Management </w:t>
            </w:r>
          </w:p>
        </w:tc>
        <w:tc>
          <w:tcPr>
            <w:tcW w:w="1984" w:type="dxa"/>
            <w:vAlign w:val="bottom"/>
          </w:tcPr>
          <w:p w14:paraId="3111122E"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3</w:t>
            </w:r>
          </w:p>
        </w:tc>
      </w:tr>
      <w:tr w:rsidR="007E2347" w:rsidRPr="00E965D1" w14:paraId="6C9BABCF" w14:textId="77777777" w:rsidTr="007E2347">
        <w:tblPrEx>
          <w:tblCellMar>
            <w:top w:w="0" w:type="dxa"/>
            <w:bottom w:w="0" w:type="dxa"/>
          </w:tblCellMar>
        </w:tblPrEx>
        <w:trPr>
          <w:trHeight w:val="375"/>
        </w:trPr>
        <w:tc>
          <w:tcPr>
            <w:tcW w:w="7158" w:type="dxa"/>
          </w:tcPr>
          <w:p w14:paraId="6B675B18" w14:textId="77777777" w:rsidR="007E2347" w:rsidRPr="00E965D1" w:rsidRDefault="007E2347" w:rsidP="007E2347">
            <w:pPr>
              <w:pStyle w:val="Odstavecseseznamem"/>
              <w:shd w:val="clear" w:color="auto" w:fill="FFFFFF"/>
              <w:spacing w:before="300" w:after="150"/>
              <w:jc w:val="left"/>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Total 53</w:t>
            </w:r>
          </w:p>
        </w:tc>
        <w:tc>
          <w:tcPr>
            <w:tcW w:w="1984" w:type="dxa"/>
            <w:vAlign w:val="bottom"/>
          </w:tcPr>
          <w:p w14:paraId="771E9DE1"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53</w:t>
            </w:r>
          </w:p>
        </w:tc>
      </w:tr>
    </w:tbl>
    <w:p w14:paraId="13AFD96A" w14:textId="77777777" w:rsidR="007E2347" w:rsidRPr="00E965D1" w:rsidRDefault="007E2347" w:rsidP="007E2347">
      <w:pPr>
        <w:pStyle w:val="Odstavecseseznamem"/>
        <w:shd w:val="clear" w:color="auto" w:fill="FFFFFF"/>
        <w:spacing w:before="300" w:after="150"/>
        <w:ind w:left="1418"/>
        <w:outlineLvl w:val="0"/>
        <w:rPr>
          <w:rFonts w:ascii="Arial" w:eastAsiaTheme="minorHAnsi" w:hAnsi="Arial" w:cs="Arial"/>
          <w:color w:val="282828"/>
          <w:sz w:val="26"/>
          <w:szCs w:val="26"/>
          <w:lang w:val="en-GB" w:eastAsia="en-US"/>
        </w:rPr>
      </w:pPr>
    </w:p>
    <w:p w14:paraId="772CA390" w14:textId="77777777" w:rsidR="007E2347" w:rsidRPr="00E965D1" w:rsidRDefault="007E2347" w:rsidP="007E2347">
      <w:pPr>
        <w:pStyle w:val="Odstavecseseznamem"/>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Create:</w:t>
      </w:r>
      <w:bookmarkStart w:id="0" w:name="_GoBack"/>
      <w:bookmarkEnd w:id="0"/>
    </w:p>
    <w:p w14:paraId="068BBD48" w14:textId="1D960225" w:rsidR="007E2347" w:rsidRPr="00E965D1" w:rsidRDefault="007E2347" w:rsidP="00E965D1">
      <w:pPr>
        <w:pStyle w:val="Odstavecseseznamem"/>
        <w:numPr>
          <w:ilvl w:val="0"/>
          <w:numId w:val="5"/>
        </w:numPr>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the organizational structure of the </w:t>
      </w:r>
      <w:r w:rsidR="00E965D1" w:rsidRPr="00E965D1">
        <w:rPr>
          <w:rFonts w:ascii="Arial" w:eastAsiaTheme="minorHAnsi" w:hAnsi="Arial" w:cs="Arial"/>
          <w:color w:val="282828"/>
          <w:sz w:val="26"/>
          <w:szCs w:val="26"/>
          <w:lang w:val="en-GB" w:eastAsia="en-US"/>
        </w:rPr>
        <w:t xml:space="preserve">company </w:t>
      </w:r>
    </w:p>
    <w:p w14:paraId="39E93146" w14:textId="26EA291B" w:rsidR="007E2347" w:rsidRPr="00E965D1" w:rsidRDefault="007E2347" w:rsidP="00E965D1">
      <w:pPr>
        <w:pStyle w:val="Odstavecseseznamem"/>
        <w:numPr>
          <w:ilvl w:val="0"/>
          <w:numId w:val="5"/>
        </w:numPr>
        <w:shd w:val="clear" w:color="auto" w:fill="FFFFFF"/>
        <w:spacing w:before="300" w:after="150"/>
        <w:outlineLvl w:val="0"/>
        <w:rPr>
          <w:rFonts w:ascii="Arial" w:eastAsiaTheme="minorHAnsi" w:hAnsi="Arial" w:cs="Arial"/>
          <w:color w:val="282828"/>
          <w:sz w:val="26"/>
          <w:szCs w:val="26"/>
          <w:lang w:val="en-GB" w:eastAsia="en-US"/>
        </w:rPr>
      </w:pPr>
      <w:r w:rsidRPr="00E965D1">
        <w:rPr>
          <w:rFonts w:ascii="Arial" w:eastAsiaTheme="minorHAnsi" w:hAnsi="Arial" w:cs="Arial"/>
          <w:color w:val="282828"/>
          <w:sz w:val="26"/>
          <w:szCs w:val="26"/>
          <w:lang w:val="en-GB" w:eastAsia="en-US"/>
        </w:rPr>
        <w:t xml:space="preserve">well-arranged and appropriate </w:t>
      </w:r>
      <w:r w:rsidR="00E965D1">
        <w:rPr>
          <w:rFonts w:ascii="Arial" w:eastAsiaTheme="minorHAnsi" w:hAnsi="Arial" w:cs="Arial"/>
          <w:color w:val="282828"/>
          <w:sz w:val="26"/>
          <w:szCs w:val="26"/>
          <w:lang w:val="en-GB" w:eastAsia="en-US"/>
        </w:rPr>
        <w:t>reward</w:t>
      </w:r>
      <w:r w:rsidR="00E965D1" w:rsidRPr="00E965D1">
        <w:rPr>
          <w:rFonts w:ascii="Arial" w:eastAsiaTheme="minorHAnsi" w:hAnsi="Arial" w:cs="Arial"/>
          <w:color w:val="282828"/>
          <w:sz w:val="26"/>
          <w:szCs w:val="26"/>
          <w:lang w:val="en-GB" w:eastAsia="en-US"/>
        </w:rPr>
        <w:t xml:space="preserve"> </w:t>
      </w:r>
      <w:r w:rsidRPr="00E965D1">
        <w:rPr>
          <w:rFonts w:ascii="Arial" w:eastAsiaTheme="minorHAnsi" w:hAnsi="Arial" w:cs="Arial"/>
          <w:color w:val="282828"/>
          <w:sz w:val="26"/>
          <w:szCs w:val="26"/>
          <w:lang w:val="en-GB" w:eastAsia="en-US"/>
        </w:rPr>
        <w:t>system for the company</w:t>
      </w:r>
    </w:p>
    <w:p w14:paraId="6807416C" w14:textId="03D739B4" w:rsidR="00E965D1" w:rsidRPr="00E965D1" w:rsidRDefault="00E965D1" w:rsidP="00E965D1">
      <w:pPr>
        <w:pStyle w:val="Odstavecseseznamem"/>
        <w:numPr>
          <w:ilvl w:val="0"/>
          <w:numId w:val="5"/>
        </w:numPr>
        <w:shd w:val="clear" w:color="auto" w:fill="FFFFFF"/>
        <w:spacing w:before="300" w:after="150"/>
        <w:outlineLvl w:val="0"/>
        <w:rPr>
          <w:rFonts w:ascii="Arial" w:hAnsi="Arial" w:cs="Arial"/>
          <w:color w:val="282828"/>
          <w:sz w:val="22"/>
          <w:szCs w:val="26"/>
          <w:lang w:val="en-GB"/>
        </w:rPr>
      </w:pPr>
      <w:r w:rsidRPr="00E965D1">
        <w:rPr>
          <w:rFonts w:ascii="Arial" w:eastAsiaTheme="minorHAnsi" w:hAnsi="Arial" w:cs="Arial"/>
          <w:color w:val="282828"/>
          <w:sz w:val="26"/>
          <w:szCs w:val="26"/>
          <w:lang w:val="en-GB" w:eastAsia="en-US"/>
        </w:rPr>
        <w:t>calculate expected</w:t>
      </w:r>
      <w:r w:rsidR="007E2347" w:rsidRPr="00E965D1">
        <w:rPr>
          <w:rFonts w:ascii="Arial" w:eastAsiaTheme="minorHAnsi" w:hAnsi="Arial" w:cs="Arial"/>
          <w:color w:val="282828"/>
          <w:sz w:val="26"/>
          <w:szCs w:val="26"/>
          <w:lang w:val="en-GB" w:eastAsia="en-US"/>
        </w:rPr>
        <w:t xml:space="preserve"> </w:t>
      </w:r>
      <w:r w:rsidRPr="00E965D1">
        <w:rPr>
          <w:rFonts w:ascii="Arial" w:eastAsiaTheme="minorHAnsi" w:hAnsi="Arial" w:cs="Arial"/>
          <w:color w:val="282828"/>
          <w:sz w:val="26"/>
          <w:szCs w:val="26"/>
          <w:lang w:val="en-GB" w:eastAsia="en-US"/>
        </w:rPr>
        <w:t>labour</w:t>
      </w:r>
      <w:r w:rsidR="007E2347" w:rsidRPr="00E965D1">
        <w:rPr>
          <w:rFonts w:ascii="Arial" w:eastAsiaTheme="minorHAnsi" w:hAnsi="Arial" w:cs="Arial"/>
          <w:color w:val="282828"/>
          <w:sz w:val="26"/>
          <w:szCs w:val="26"/>
          <w:lang w:val="en-GB" w:eastAsia="en-US"/>
        </w:rPr>
        <w:t xml:space="preserve"> costs per employee </w:t>
      </w:r>
      <w:r>
        <w:rPr>
          <w:rFonts w:ascii="Arial" w:eastAsiaTheme="minorHAnsi" w:hAnsi="Arial" w:cs="Arial"/>
          <w:color w:val="282828"/>
          <w:sz w:val="26"/>
          <w:szCs w:val="26"/>
          <w:lang w:val="en-GB" w:eastAsia="en-US"/>
        </w:rPr>
        <w:t>per year</w:t>
      </w:r>
    </w:p>
    <w:p w14:paraId="384C81F8" w14:textId="21A5930E" w:rsidR="00C6152D" w:rsidRPr="00E965D1" w:rsidRDefault="00C6152D" w:rsidP="00E965D1">
      <w:pPr>
        <w:shd w:val="clear" w:color="auto" w:fill="FFFFFF"/>
        <w:spacing w:before="300" w:after="150"/>
        <w:outlineLvl w:val="0"/>
        <w:rPr>
          <w:rFonts w:ascii="Arial" w:hAnsi="Arial" w:cs="Arial"/>
          <w:color w:val="282828"/>
          <w:sz w:val="22"/>
          <w:szCs w:val="26"/>
          <w:lang w:val="en-GB"/>
        </w:rPr>
      </w:pPr>
      <w:r w:rsidRPr="00E965D1">
        <w:rPr>
          <w:rFonts w:ascii="Arial" w:hAnsi="Arial" w:cs="Arial"/>
          <w:color w:val="282828"/>
          <w:sz w:val="22"/>
          <w:szCs w:val="26"/>
          <w:lang w:val="en-GB"/>
        </w:rPr>
        <w:t>REFERENCES</w:t>
      </w:r>
    </w:p>
    <w:p w14:paraId="6A22D1CC" w14:textId="77777777" w:rsidR="00C6152D" w:rsidRPr="00E965D1" w:rsidRDefault="00C6152D" w:rsidP="00C6152D">
      <w:pPr>
        <w:shd w:val="clear" w:color="auto" w:fill="FFFFFF"/>
        <w:outlineLvl w:val="0"/>
        <w:rPr>
          <w:rFonts w:ascii="Arial" w:hAnsi="Arial" w:cs="Arial"/>
          <w:color w:val="282828"/>
          <w:sz w:val="22"/>
          <w:szCs w:val="26"/>
          <w:lang w:val="en-GB"/>
        </w:rPr>
      </w:pPr>
      <w:r w:rsidRPr="00E965D1">
        <w:rPr>
          <w:rFonts w:ascii="Arial" w:hAnsi="Arial" w:cs="Arial"/>
          <w:color w:val="282828"/>
          <w:sz w:val="22"/>
          <w:szCs w:val="26"/>
          <w:lang w:val="en-GB"/>
        </w:rPr>
        <w:t>Dvořáková, Z. (2012). </w:t>
      </w:r>
      <w:proofErr w:type="spellStart"/>
      <w:r w:rsidRPr="00E965D1">
        <w:rPr>
          <w:rFonts w:ascii="Arial" w:hAnsi="Arial" w:cs="Arial"/>
          <w:color w:val="282828"/>
          <w:sz w:val="22"/>
          <w:szCs w:val="26"/>
          <w:lang w:val="en-GB"/>
        </w:rPr>
        <w:t>Řízení</w:t>
      </w:r>
      <w:proofErr w:type="spellEnd"/>
      <w:r w:rsidRPr="00E965D1">
        <w:rPr>
          <w:rFonts w:ascii="Arial" w:hAnsi="Arial" w:cs="Arial"/>
          <w:color w:val="282828"/>
          <w:sz w:val="22"/>
          <w:szCs w:val="26"/>
          <w:lang w:val="en-GB"/>
        </w:rPr>
        <w:t xml:space="preserve"> </w:t>
      </w:r>
      <w:proofErr w:type="spellStart"/>
      <w:r w:rsidRPr="00E965D1">
        <w:rPr>
          <w:rFonts w:ascii="Arial" w:hAnsi="Arial" w:cs="Arial"/>
          <w:color w:val="282828"/>
          <w:sz w:val="22"/>
          <w:szCs w:val="26"/>
          <w:lang w:val="en-GB"/>
        </w:rPr>
        <w:t>lidských</w:t>
      </w:r>
      <w:proofErr w:type="spellEnd"/>
      <w:r w:rsidRPr="00E965D1">
        <w:rPr>
          <w:rFonts w:ascii="Arial" w:hAnsi="Arial" w:cs="Arial"/>
          <w:color w:val="282828"/>
          <w:sz w:val="22"/>
          <w:szCs w:val="26"/>
          <w:lang w:val="en-GB"/>
        </w:rPr>
        <w:t xml:space="preserve"> </w:t>
      </w:r>
      <w:proofErr w:type="spellStart"/>
      <w:r w:rsidRPr="00E965D1">
        <w:rPr>
          <w:rFonts w:ascii="Arial" w:hAnsi="Arial" w:cs="Arial"/>
          <w:color w:val="282828"/>
          <w:sz w:val="22"/>
          <w:szCs w:val="26"/>
          <w:lang w:val="en-GB"/>
        </w:rPr>
        <w:t>zdrojů</w:t>
      </w:r>
      <w:proofErr w:type="spellEnd"/>
      <w:r w:rsidRPr="00E965D1">
        <w:rPr>
          <w:rFonts w:ascii="Arial" w:hAnsi="Arial" w:cs="Arial"/>
          <w:color w:val="282828"/>
          <w:sz w:val="22"/>
          <w:szCs w:val="26"/>
          <w:lang w:val="en-GB"/>
        </w:rPr>
        <w:t xml:space="preserve">. V </w:t>
      </w:r>
      <w:proofErr w:type="spellStart"/>
      <w:r w:rsidRPr="00E965D1">
        <w:rPr>
          <w:rFonts w:ascii="Arial" w:hAnsi="Arial" w:cs="Arial"/>
          <w:color w:val="282828"/>
          <w:sz w:val="22"/>
          <w:szCs w:val="26"/>
          <w:lang w:val="en-GB"/>
        </w:rPr>
        <w:t>Praze</w:t>
      </w:r>
      <w:proofErr w:type="spellEnd"/>
      <w:r w:rsidRPr="00E965D1">
        <w:rPr>
          <w:rFonts w:ascii="Arial" w:hAnsi="Arial" w:cs="Arial"/>
          <w:color w:val="282828"/>
          <w:sz w:val="22"/>
          <w:szCs w:val="26"/>
          <w:lang w:val="en-GB"/>
        </w:rPr>
        <w:t>: C.H. Beck.</w:t>
      </w:r>
    </w:p>
    <w:p w14:paraId="54D75C9E" w14:textId="77777777" w:rsidR="00C6152D" w:rsidRPr="00E965D1" w:rsidRDefault="00C6152D" w:rsidP="00C6152D">
      <w:pPr>
        <w:shd w:val="clear" w:color="auto" w:fill="FFFFFF"/>
        <w:outlineLvl w:val="0"/>
        <w:rPr>
          <w:rFonts w:ascii="Arial" w:hAnsi="Arial" w:cs="Arial"/>
          <w:color w:val="282828"/>
          <w:sz w:val="22"/>
          <w:szCs w:val="26"/>
          <w:lang w:val="en-GB"/>
        </w:rPr>
      </w:pPr>
      <w:proofErr w:type="spellStart"/>
      <w:r w:rsidRPr="00E965D1">
        <w:rPr>
          <w:rFonts w:ascii="Arial" w:hAnsi="Arial" w:cs="Arial"/>
          <w:color w:val="282828"/>
          <w:sz w:val="22"/>
          <w:szCs w:val="26"/>
          <w:lang w:val="en-GB"/>
        </w:rPr>
        <w:t>Kleibl</w:t>
      </w:r>
      <w:proofErr w:type="spellEnd"/>
      <w:r w:rsidRPr="00E965D1">
        <w:rPr>
          <w:rFonts w:ascii="Arial" w:hAnsi="Arial" w:cs="Arial"/>
          <w:color w:val="282828"/>
          <w:sz w:val="22"/>
          <w:szCs w:val="26"/>
          <w:lang w:val="en-GB"/>
        </w:rPr>
        <w:t xml:space="preserve">, J., Dvořáková, Z., &amp; </w:t>
      </w:r>
      <w:proofErr w:type="spellStart"/>
      <w:r w:rsidRPr="00E965D1">
        <w:rPr>
          <w:rFonts w:ascii="Arial" w:hAnsi="Arial" w:cs="Arial"/>
          <w:color w:val="282828"/>
          <w:sz w:val="22"/>
          <w:szCs w:val="26"/>
          <w:lang w:val="en-GB"/>
        </w:rPr>
        <w:t>Hüttlová</w:t>
      </w:r>
      <w:proofErr w:type="spellEnd"/>
      <w:r w:rsidRPr="00E965D1">
        <w:rPr>
          <w:rFonts w:ascii="Arial" w:hAnsi="Arial" w:cs="Arial"/>
          <w:color w:val="282828"/>
          <w:sz w:val="22"/>
          <w:szCs w:val="26"/>
          <w:lang w:val="en-GB"/>
        </w:rPr>
        <w:t>, E. (1998). </w:t>
      </w:r>
      <w:proofErr w:type="spellStart"/>
      <w:r w:rsidRPr="00E965D1">
        <w:rPr>
          <w:rFonts w:ascii="Arial" w:hAnsi="Arial" w:cs="Arial"/>
          <w:color w:val="282828"/>
          <w:sz w:val="22"/>
          <w:szCs w:val="26"/>
          <w:lang w:val="en-GB"/>
        </w:rPr>
        <w:t>Stimulace</w:t>
      </w:r>
      <w:proofErr w:type="spellEnd"/>
      <w:r w:rsidRPr="00E965D1">
        <w:rPr>
          <w:rFonts w:ascii="Arial" w:hAnsi="Arial" w:cs="Arial"/>
          <w:color w:val="282828"/>
          <w:sz w:val="22"/>
          <w:szCs w:val="26"/>
          <w:lang w:val="en-GB"/>
        </w:rPr>
        <w:t xml:space="preserve"> </w:t>
      </w:r>
      <w:proofErr w:type="spellStart"/>
      <w:r w:rsidRPr="00E965D1">
        <w:rPr>
          <w:rFonts w:ascii="Arial" w:hAnsi="Arial" w:cs="Arial"/>
          <w:color w:val="282828"/>
          <w:sz w:val="22"/>
          <w:szCs w:val="26"/>
          <w:lang w:val="en-GB"/>
        </w:rPr>
        <w:t>pracovníků</w:t>
      </w:r>
      <w:proofErr w:type="spellEnd"/>
      <w:r w:rsidRPr="00E965D1">
        <w:rPr>
          <w:rFonts w:ascii="Arial" w:hAnsi="Arial" w:cs="Arial"/>
          <w:color w:val="282828"/>
          <w:sz w:val="22"/>
          <w:szCs w:val="26"/>
          <w:lang w:val="en-GB"/>
        </w:rPr>
        <w:t xml:space="preserve"> a </w:t>
      </w:r>
      <w:proofErr w:type="spellStart"/>
      <w:r w:rsidRPr="00E965D1">
        <w:rPr>
          <w:rFonts w:ascii="Arial" w:hAnsi="Arial" w:cs="Arial"/>
          <w:color w:val="282828"/>
          <w:sz w:val="22"/>
          <w:szCs w:val="26"/>
          <w:lang w:val="en-GB"/>
        </w:rPr>
        <w:t>tvorba</w:t>
      </w:r>
      <w:proofErr w:type="spellEnd"/>
      <w:r w:rsidRPr="00E965D1">
        <w:rPr>
          <w:rFonts w:ascii="Arial" w:hAnsi="Arial" w:cs="Arial"/>
          <w:color w:val="282828"/>
          <w:sz w:val="22"/>
          <w:szCs w:val="26"/>
          <w:lang w:val="en-GB"/>
        </w:rPr>
        <w:t xml:space="preserve"> </w:t>
      </w:r>
      <w:proofErr w:type="spellStart"/>
      <w:r w:rsidRPr="00E965D1">
        <w:rPr>
          <w:rFonts w:ascii="Arial" w:hAnsi="Arial" w:cs="Arial"/>
          <w:color w:val="282828"/>
          <w:sz w:val="22"/>
          <w:szCs w:val="26"/>
          <w:lang w:val="en-GB"/>
        </w:rPr>
        <w:t>mzdových</w:t>
      </w:r>
      <w:proofErr w:type="spellEnd"/>
      <w:r w:rsidRPr="00E965D1">
        <w:rPr>
          <w:rFonts w:ascii="Arial" w:hAnsi="Arial" w:cs="Arial"/>
          <w:color w:val="282828"/>
          <w:sz w:val="22"/>
          <w:szCs w:val="26"/>
          <w:lang w:val="en-GB"/>
        </w:rPr>
        <w:t xml:space="preserve"> </w:t>
      </w:r>
      <w:proofErr w:type="spellStart"/>
      <w:r w:rsidRPr="00E965D1">
        <w:rPr>
          <w:rFonts w:ascii="Arial" w:hAnsi="Arial" w:cs="Arial"/>
          <w:color w:val="282828"/>
          <w:sz w:val="22"/>
          <w:szCs w:val="26"/>
          <w:lang w:val="en-GB"/>
        </w:rPr>
        <w:t>soustav</w:t>
      </w:r>
      <w:proofErr w:type="spellEnd"/>
      <w:r w:rsidRPr="00E965D1">
        <w:rPr>
          <w:rFonts w:ascii="Arial" w:hAnsi="Arial" w:cs="Arial"/>
          <w:color w:val="282828"/>
          <w:sz w:val="22"/>
          <w:szCs w:val="26"/>
          <w:lang w:val="en-GB"/>
        </w:rPr>
        <w:t xml:space="preserve"> (2. </w:t>
      </w:r>
      <w:proofErr w:type="spellStart"/>
      <w:r w:rsidRPr="00E965D1">
        <w:rPr>
          <w:rFonts w:ascii="Arial" w:hAnsi="Arial" w:cs="Arial"/>
          <w:color w:val="282828"/>
          <w:sz w:val="22"/>
          <w:szCs w:val="26"/>
          <w:lang w:val="en-GB"/>
        </w:rPr>
        <w:t>vyd</w:t>
      </w:r>
      <w:proofErr w:type="spellEnd"/>
      <w:r w:rsidRPr="00E965D1">
        <w:rPr>
          <w:rFonts w:ascii="Arial" w:hAnsi="Arial" w:cs="Arial"/>
          <w:color w:val="282828"/>
          <w:sz w:val="22"/>
          <w:szCs w:val="26"/>
          <w:lang w:val="en-GB"/>
        </w:rPr>
        <w:t>). Praha: VŠE.</w:t>
      </w:r>
    </w:p>
    <w:p w14:paraId="65090D9C" w14:textId="77777777" w:rsidR="00C6152D" w:rsidRPr="00E965D1" w:rsidRDefault="00C6152D" w:rsidP="00C6152D">
      <w:pPr>
        <w:shd w:val="clear" w:color="auto" w:fill="FFFFFF"/>
        <w:outlineLvl w:val="0"/>
        <w:rPr>
          <w:rFonts w:ascii="Arial" w:hAnsi="Arial" w:cs="Arial"/>
          <w:color w:val="282828"/>
          <w:sz w:val="22"/>
          <w:szCs w:val="26"/>
          <w:lang w:val="en-GB"/>
        </w:rPr>
      </w:pPr>
      <w:proofErr w:type="spellStart"/>
      <w:r w:rsidRPr="00E965D1">
        <w:rPr>
          <w:rFonts w:ascii="Arial" w:hAnsi="Arial" w:cs="Arial"/>
          <w:color w:val="282828"/>
          <w:sz w:val="22"/>
          <w:szCs w:val="26"/>
          <w:lang w:val="en-GB"/>
        </w:rPr>
        <w:t>Kulhavý</w:t>
      </w:r>
      <w:proofErr w:type="spellEnd"/>
      <w:r w:rsidRPr="00E965D1">
        <w:rPr>
          <w:rFonts w:ascii="Arial" w:hAnsi="Arial" w:cs="Arial"/>
          <w:color w:val="282828"/>
          <w:sz w:val="22"/>
          <w:szCs w:val="26"/>
          <w:lang w:val="en-GB"/>
        </w:rPr>
        <w:t xml:space="preserve">, V., &amp; Procházka, J. (2015). </w:t>
      </w:r>
      <w:proofErr w:type="spellStart"/>
      <w:r w:rsidRPr="00E965D1">
        <w:rPr>
          <w:rFonts w:ascii="Arial" w:hAnsi="Arial" w:cs="Arial"/>
          <w:color w:val="282828"/>
          <w:sz w:val="22"/>
          <w:szCs w:val="26"/>
          <w:lang w:val="en-GB"/>
        </w:rPr>
        <w:t>Cvičebnice</w:t>
      </w:r>
      <w:proofErr w:type="spellEnd"/>
      <w:r w:rsidRPr="00E965D1">
        <w:rPr>
          <w:rFonts w:ascii="Arial" w:hAnsi="Arial" w:cs="Arial"/>
          <w:color w:val="282828"/>
          <w:sz w:val="22"/>
          <w:szCs w:val="26"/>
          <w:lang w:val="en-GB"/>
        </w:rPr>
        <w:t xml:space="preserve"> pro </w:t>
      </w:r>
      <w:proofErr w:type="spellStart"/>
      <w:r w:rsidRPr="00E965D1">
        <w:rPr>
          <w:rFonts w:ascii="Arial" w:hAnsi="Arial" w:cs="Arial"/>
          <w:color w:val="282828"/>
          <w:sz w:val="22"/>
          <w:szCs w:val="26"/>
          <w:lang w:val="en-GB"/>
        </w:rPr>
        <w:t>předmět</w:t>
      </w:r>
      <w:proofErr w:type="spellEnd"/>
      <w:r w:rsidRPr="00E965D1">
        <w:rPr>
          <w:rFonts w:ascii="Arial" w:hAnsi="Arial" w:cs="Arial"/>
          <w:color w:val="282828"/>
          <w:sz w:val="22"/>
          <w:szCs w:val="26"/>
          <w:lang w:val="en-GB"/>
        </w:rPr>
        <w:t xml:space="preserve"> </w:t>
      </w:r>
      <w:proofErr w:type="spellStart"/>
      <w:r w:rsidRPr="00E965D1">
        <w:rPr>
          <w:rFonts w:ascii="Arial" w:hAnsi="Arial" w:cs="Arial"/>
          <w:color w:val="282828"/>
          <w:sz w:val="22"/>
          <w:szCs w:val="26"/>
          <w:lang w:val="en-GB"/>
        </w:rPr>
        <w:t>Řízení</w:t>
      </w:r>
      <w:proofErr w:type="spellEnd"/>
      <w:r w:rsidRPr="00E965D1">
        <w:rPr>
          <w:rFonts w:ascii="Arial" w:hAnsi="Arial" w:cs="Arial"/>
          <w:color w:val="282828"/>
          <w:sz w:val="22"/>
          <w:szCs w:val="26"/>
          <w:lang w:val="en-GB"/>
        </w:rPr>
        <w:t xml:space="preserve"> </w:t>
      </w:r>
      <w:proofErr w:type="spellStart"/>
      <w:r w:rsidRPr="00E965D1">
        <w:rPr>
          <w:rFonts w:ascii="Arial" w:hAnsi="Arial" w:cs="Arial"/>
          <w:color w:val="282828"/>
          <w:sz w:val="22"/>
          <w:szCs w:val="26"/>
          <w:lang w:val="en-GB"/>
        </w:rPr>
        <w:t>lidských</w:t>
      </w:r>
      <w:proofErr w:type="spellEnd"/>
      <w:r w:rsidRPr="00E965D1">
        <w:rPr>
          <w:rFonts w:ascii="Arial" w:hAnsi="Arial" w:cs="Arial"/>
          <w:color w:val="282828"/>
          <w:sz w:val="22"/>
          <w:szCs w:val="26"/>
          <w:lang w:val="en-GB"/>
        </w:rPr>
        <w:t xml:space="preserve"> </w:t>
      </w:r>
      <w:proofErr w:type="spellStart"/>
      <w:r w:rsidRPr="00E965D1">
        <w:rPr>
          <w:rFonts w:ascii="Arial" w:hAnsi="Arial" w:cs="Arial"/>
          <w:color w:val="282828"/>
          <w:sz w:val="22"/>
          <w:szCs w:val="26"/>
          <w:lang w:val="en-GB"/>
        </w:rPr>
        <w:t>zdrojů</w:t>
      </w:r>
      <w:proofErr w:type="spellEnd"/>
      <w:r w:rsidRPr="00E965D1">
        <w:rPr>
          <w:rFonts w:ascii="Arial" w:hAnsi="Arial" w:cs="Arial"/>
          <w:color w:val="282828"/>
          <w:sz w:val="22"/>
          <w:szCs w:val="26"/>
          <w:lang w:val="en-GB"/>
        </w:rPr>
        <w:t>.</w:t>
      </w:r>
    </w:p>
    <w:p w14:paraId="275C0F50" w14:textId="77777777" w:rsidR="00C6152D" w:rsidRPr="00E965D1" w:rsidRDefault="00C6152D" w:rsidP="00C6152D">
      <w:pPr>
        <w:rPr>
          <w:lang w:val="en-GB"/>
        </w:rPr>
      </w:pPr>
    </w:p>
    <w:p w14:paraId="143855F5" w14:textId="77777777" w:rsidR="00C6152D" w:rsidRPr="00E965D1" w:rsidRDefault="00C6152D" w:rsidP="00C6152D">
      <w:pPr>
        <w:pStyle w:val="Odstavecseseznamem"/>
        <w:shd w:val="clear" w:color="auto" w:fill="FFFFFF"/>
        <w:spacing w:before="300" w:after="150"/>
        <w:outlineLvl w:val="0"/>
        <w:rPr>
          <w:rFonts w:ascii="Arial" w:eastAsiaTheme="minorHAnsi" w:hAnsi="Arial" w:cs="Arial"/>
          <w:color w:val="282828"/>
          <w:sz w:val="26"/>
          <w:szCs w:val="26"/>
          <w:lang w:val="en-GB" w:eastAsia="en-US"/>
        </w:rPr>
      </w:pPr>
    </w:p>
    <w:p w14:paraId="4D6831E3" w14:textId="77777777" w:rsidR="000D0721" w:rsidRPr="00E965D1" w:rsidRDefault="000D0721" w:rsidP="000D0721">
      <w:pPr>
        <w:shd w:val="clear" w:color="auto" w:fill="FFFFFF"/>
        <w:spacing w:before="300" w:after="150"/>
        <w:outlineLvl w:val="0"/>
        <w:rPr>
          <w:rFonts w:ascii="Arial" w:eastAsiaTheme="minorHAnsi" w:hAnsi="Arial" w:cs="Arial"/>
          <w:color w:val="282828"/>
          <w:sz w:val="26"/>
          <w:szCs w:val="26"/>
          <w:lang w:val="en-GB" w:eastAsia="en-US"/>
        </w:rPr>
      </w:pPr>
    </w:p>
    <w:sectPr w:rsidR="000D0721" w:rsidRPr="00E965D1" w:rsidSect="00CD1BCB">
      <w:headerReference w:type="even" r:id="rId8"/>
      <w:headerReference w:type="default" r:id="rId9"/>
      <w:footerReference w:type="even" r:id="rId10"/>
      <w:footerReference w:type="default" r:id="rId11"/>
      <w:footerReference w:type="first" r:id="rId12"/>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623D" w14:textId="77777777" w:rsidR="00F973D5" w:rsidRDefault="00F973D5">
      <w:r>
        <w:separator/>
      </w:r>
    </w:p>
    <w:p w14:paraId="34C4929B" w14:textId="77777777" w:rsidR="00F973D5" w:rsidRDefault="00F973D5"/>
  </w:endnote>
  <w:endnote w:type="continuationSeparator" w:id="0">
    <w:p w14:paraId="4C9A1CBF" w14:textId="77777777" w:rsidR="00F973D5" w:rsidRDefault="00F973D5">
      <w:r>
        <w:continuationSeparator/>
      </w:r>
    </w:p>
    <w:p w14:paraId="4F4DA513" w14:textId="77777777" w:rsidR="00F973D5" w:rsidRDefault="00F9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orbel"/>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43" w:usb2="00000009" w:usb3="00000000" w:csb0="000001FF" w:csb1="00000000"/>
  </w:font>
  <w:font w:name="CG Times">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7BBFDD27" w:rsidR="00EF3ACA" w:rsidRDefault="00EF3ACA">
            <w:pPr>
              <w:pStyle w:val="Zpat"/>
              <w:jc w:val="right"/>
            </w:pPr>
            <w:r>
              <w:rPr>
                <w:noProof/>
                <w:lang w:val="cs-CZ" w:eastAsia="cs-CZ"/>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E965D1">
              <w:rPr>
                <w:b/>
                <w:bCs/>
                <w:noProof/>
              </w:rPr>
              <w:t>2</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E965D1">
              <w:rPr>
                <w:b/>
                <w:bCs/>
                <w:noProof/>
              </w:rPr>
              <w:t>2</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cs-CZ" w:eastAsia="cs-CZ"/>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847C" w14:textId="77777777" w:rsidR="00F973D5" w:rsidRDefault="00F973D5">
      <w:r>
        <w:separator/>
      </w:r>
    </w:p>
    <w:p w14:paraId="78ED4583" w14:textId="77777777" w:rsidR="00F973D5" w:rsidRDefault="00F973D5"/>
  </w:footnote>
  <w:footnote w:type="continuationSeparator" w:id="0">
    <w:p w14:paraId="64C3A31D" w14:textId="77777777" w:rsidR="00F973D5" w:rsidRDefault="00F973D5">
      <w:r>
        <w:continuationSeparator/>
      </w:r>
    </w:p>
    <w:p w14:paraId="4055724A" w14:textId="77777777" w:rsidR="00F973D5" w:rsidRDefault="00F973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E965D1">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EF3ACA" w:rsidRPr="005314CC" w:rsidRDefault="00EF3ACA" w:rsidP="00AA19AB">
    <w:pPr>
      <w:pStyle w:val="Zhlav"/>
      <w:spacing w:before="0" w:after="0"/>
      <w:jc w:val="right"/>
      <w:rPr>
        <w:b/>
        <w:sz w:val="14"/>
      </w:rPr>
    </w:pPr>
    <w:r w:rsidRPr="005314CC">
      <w:rPr>
        <w:b/>
        <w:noProof/>
        <w:sz w:val="14"/>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EF3ACA" w:rsidRPr="005314CC" w:rsidRDefault="00EF3ACA"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EF3ACA" w:rsidRDefault="00EF3AC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8D20C54"/>
    <w:multiLevelType w:val="hybridMultilevel"/>
    <w:tmpl w:val="3E8A84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9796CBC"/>
    <w:multiLevelType w:val="hybridMultilevel"/>
    <w:tmpl w:val="87C04F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721"/>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3C8D"/>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102"/>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3694"/>
    <w:rsid w:val="003958B7"/>
    <w:rsid w:val="00395D2F"/>
    <w:rsid w:val="00396916"/>
    <w:rsid w:val="003978A7"/>
    <w:rsid w:val="003979D8"/>
    <w:rsid w:val="00397CA3"/>
    <w:rsid w:val="00397DBE"/>
    <w:rsid w:val="003A05C6"/>
    <w:rsid w:val="003A0806"/>
    <w:rsid w:val="003A2381"/>
    <w:rsid w:val="003A3A0F"/>
    <w:rsid w:val="003A4311"/>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60D"/>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18A2"/>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D6A"/>
    <w:rsid w:val="007C0E6A"/>
    <w:rsid w:val="007C1319"/>
    <w:rsid w:val="007C176C"/>
    <w:rsid w:val="007C21D0"/>
    <w:rsid w:val="007C2BE9"/>
    <w:rsid w:val="007C2D8B"/>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347"/>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459"/>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3094"/>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58E8"/>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0F5B"/>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5B2D"/>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268"/>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152D"/>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1DAD"/>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A60"/>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5D1"/>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DF5"/>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3E88A-25DB-4131-A239-F1D87300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346</Words>
  <Characters>1883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2225</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Volek Tomáš Ing. Ph.D.</cp:lastModifiedBy>
  <cp:revision>4</cp:revision>
  <cp:lastPrinted>2016-01-29T12:34:00Z</cp:lastPrinted>
  <dcterms:created xsi:type="dcterms:W3CDTF">2020-04-02T22:06:00Z</dcterms:created>
  <dcterms:modified xsi:type="dcterms:W3CDTF">2020-04-02T22:56:00Z</dcterms:modified>
</cp:coreProperties>
</file>