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7C87" w14:textId="590CE23C" w:rsidR="006B3F2C" w:rsidRDefault="001C6C4B" w:rsidP="0065539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Working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Capital</w:t>
      </w:r>
      <w:proofErr w:type="spellEnd"/>
      <w:r w:rsidR="00A1638C">
        <w:rPr>
          <w:b/>
          <w:sz w:val="28"/>
          <w:szCs w:val="28"/>
        </w:rPr>
        <w:t xml:space="preserve"> - </w:t>
      </w:r>
      <w:r w:rsidR="00A1638C" w:rsidRPr="00A1638C">
        <w:rPr>
          <w:b/>
          <w:sz w:val="28"/>
          <w:szCs w:val="28"/>
        </w:rPr>
        <w:t xml:space="preserve"> </w:t>
      </w:r>
      <w:proofErr w:type="spellStart"/>
      <w:r w:rsidR="00A1638C" w:rsidRPr="00A1638C">
        <w:rPr>
          <w:b/>
          <w:sz w:val="28"/>
          <w:szCs w:val="28"/>
        </w:rPr>
        <w:t>Example</w:t>
      </w:r>
      <w:proofErr w:type="spellEnd"/>
      <w:r w:rsidR="00A1638C" w:rsidRPr="00A1638C">
        <w:rPr>
          <w:b/>
          <w:sz w:val="28"/>
          <w:szCs w:val="28"/>
        </w:rPr>
        <w:t xml:space="preserve"> </w:t>
      </w:r>
    </w:p>
    <w:p w14:paraId="58CD159A" w14:textId="77777777" w:rsidR="00A1638C" w:rsidRDefault="00A1638C" w:rsidP="00A1638C">
      <w:pPr>
        <w:widowControl/>
        <w:spacing w:before="0" w:after="0"/>
        <w:rPr>
          <w:rFonts w:ascii="Times New Roman" w:hAnsi="Times New Roman"/>
          <w:color w:val="auto"/>
          <w:sz w:val="24"/>
        </w:rPr>
      </w:pPr>
    </w:p>
    <w:p w14:paraId="421F8047" w14:textId="77777777" w:rsidR="001C6C4B" w:rsidRPr="001C6C4B" w:rsidRDefault="001C6C4B" w:rsidP="001C6C4B">
      <w:pPr>
        <w:widowControl/>
        <w:spacing w:before="0" w:after="0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Equally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important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as</w:t>
      </w:r>
    </w:p>
    <w:p w14:paraId="4D88EF52" w14:textId="77777777" w:rsidR="001C6C4B" w:rsidRPr="001C6C4B" w:rsidRDefault="001C6C4B" w:rsidP="001C6C4B">
      <w:pPr>
        <w:widowControl/>
        <w:numPr>
          <w:ilvl w:val="0"/>
          <w:numId w:val="46"/>
        </w:numPr>
        <w:spacing w:before="0" w:after="0"/>
        <w:jc w:val="left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maintaining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optimal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balance </w:t>
      </w:r>
      <w:proofErr w:type="spellStart"/>
      <w:r w:rsidRPr="001C6C4B">
        <w:rPr>
          <w:rFonts w:ascii="Times New Roman" w:hAnsi="Times New Roman"/>
          <w:color w:val="auto"/>
          <w:sz w:val="24"/>
        </w:rPr>
        <w:t>between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equity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>,</w:t>
      </w:r>
    </w:p>
    <w:p w14:paraId="1951FA3A" w14:textId="77777777" w:rsidR="001C6C4B" w:rsidRPr="001C6C4B" w:rsidRDefault="001C6C4B" w:rsidP="001C6C4B">
      <w:pPr>
        <w:widowControl/>
        <w:numPr>
          <w:ilvl w:val="0"/>
          <w:numId w:val="46"/>
        </w:numPr>
        <w:spacing w:before="0" w:after="0"/>
        <w:jc w:val="left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also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maintaining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optimal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balance </w:t>
      </w:r>
      <w:proofErr w:type="spellStart"/>
      <w:r w:rsidRPr="001C6C4B">
        <w:rPr>
          <w:rFonts w:ascii="Times New Roman" w:hAnsi="Times New Roman"/>
          <w:color w:val="auto"/>
          <w:sz w:val="24"/>
        </w:rPr>
        <w:t>between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long-term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sources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(source </w:t>
      </w:r>
      <w:proofErr w:type="spellStart"/>
      <w:r w:rsidRPr="001C6C4B">
        <w:rPr>
          <w:rFonts w:ascii="Times New Roman" w:hAnsi="Times New Roman"/>
          <w:color w:val="auto"/>
          <w:sz w:val="24"/>
        </w:rPr>
        <w:t>structure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)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long-term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(</w:t>
      </w:r>
      <w:proofErr w:type="spellStart"/>
      <w:r w:rsidRPr="001C6C4B">
        <w:rPr>
          <w:rFonts w:ascii="Times New Roman" w:hAnsi="Times New Roman"/>
          <w:color w:val="auto"/>
          <w:sz w:val="24"/>
        </w:rPr>
        <w:t>especially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long-term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>).</w:t>
      </w:r>
    </w:p>
    <w:p w14:paraId="78F949F3" w14:textId="77777777" w:rsidR="001C6C4B" w:rsidRPr="001C6C4B" w:rsidRDefault="001C6C4B" w:rsidP="001C6C4B">
      <w:pPr>
        <w:widowControl/>
        <w:spacing w:before="0" w:after="0"/>
        <w:rPr>
          <w:rFonts w:ascii="Times New Roman" w:hAnsi="Times New Roman"/>
          <w:color w:val="auto"/>
          <w:sz w:val="24"/>
        </w:rPr>
      </w:pPr>
    </w:p>
    <w:p w14:paraId="0E96E90A" w14:textId="77777777" w:rsidR="001C6C4B" w:rsidRPr="001C6C4B" w:rsidRDefault="001C6C4B" w:rsidP="001C6C4B">
      <w:pPr>
        <w:widowControl/>
        <w:spacing w:before="0" w:after="0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cheaper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than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long-term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4E76DE8D" w14:textId="77777777" w:rsidR="001C6C4B" w:rsidRPr="001C6C4B" w:rsidRDefault="001C6C4B" w:rsidP="001C6C4B">
      <w:pPr>
        <w:widowControl/>
        <w:spacing w:after="0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b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should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used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only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for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financing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liquid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these are </w:t>
      </w:r>
      <w:proofErr w:type="spellStart"/>
      <w:r w:rsidRPr="001C6C4B">
        <w:rPr>
          <w:rFonts w:ascii="Times New Roman" w:hAnsi="Times New Roman"/>
          <w:color w:val="auto"/>
          <w:sz w:val="24"/>
        </w:rPr>
        <w:t>mainly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money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due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1C6C4B">
        <w:rPr>
          <w:rFonts w:ascii="Times New Roman" w:hAnsi="Times New Roman"/>
          <w:color w:val="auto"/>
          <w:sz w:val="24"/>
        </w:rPr>
        <w:t>or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finished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products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</w:t>
      </w:r>
      <w:proofErr w:type="spellStart"/>
      <w:proofErr w:type="gramStart"/>
      <w:r w:rsidRPr="001C6C4B">
        <w:rPr>
          <w:rFonts w:ascii="Times New Roman" w:hAnsi="Times New Roman"/>
          <w:color w:val="auto"/>
          <w:sz w:val="24"/>
        </w:rPr>
        <w:t>i.e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.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proofErr w:type="gram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which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used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to </w:t>
      </w:r>
      <w:proofErr w:type="spellStart"/>
      <w:r w:rsidRPr="001C6C4B">
        <w:rPr>
          <w:rFonts w:ascii="Times New Roman" w:hAnsi="Times New Roman"/>
          <w:color w:val="auto"/>
          <w:sz w:val="24"/>
        </w:rPr>
        <w:t>repay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these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(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) </w:t>
      </w:r>
      <w:proofErr w:type="spellStart"/>
      <w:r w:rsidRPr="001C6C4B">
        <w:rPr>
          <w:rFonts w:ascii="Times New Roman" w:hAnsi="Times New Roman"/>
          <w:color w:val="auto"/>
          <w:sz w:val="24"/>
        </w:rPr>
        <w:t>quickly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without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loss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4144B0B9" w14:textId="77777777" w:rsidR="001C6C4B" w:rsidRPr="001C6C4B" w:rsidRDefault="001C6C4B" w:rsidP="001C6C4B">
      <w:pPr>
        <w:widowControl/>
        <w:spacing w:after="0"/>
        <w:rPr>
          <w:rFonts w:ascii="Times New Roman" w:hAnsi="Times New Roman"/>
          <w:color w:val="auto"/>
          <w:sz w:val="24"/>
        </w:rPr>
      </w:pPr>
      <w:r w:rsidRPr="001C6C4B">
        <w:rPr>
          <w:rFonts w:ascii="Times New Roman" w:hAnsi="Times New Roman"/>
          <w:b/>
          <w:color w:val="auto"/>
          <w:sz w:val="24"/>
        </w:rPr>
        <w:t xml:space="preserve">Long-Term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(Long-term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Equity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)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should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cover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Fixed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permanently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locked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-up 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033C7976" w14:textId="77777777" w:rsidR="001C6C4B" w:rsidRPr="001C6C4B" w:rsidRDefault="001C6C4B" w:rsidP="001C6C4B">
      <w:pPr>
        <w:widowControl/>
        <w:numPr>
          <w:ilvl w:val="0"/>
          <w:numId w:val="47"/>
        </w:numPr>
        <w:spacing w:before="0" w:after="0"/>
        <w:jc w:val="left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Using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long-term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for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financing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inefficient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420C4596" w14:textId="77777777" w:rsidR="001C6C4B" w:rsidRPr="001C6C4B" w:rsidRDefault="001C6C4B" w:rsidP="001C6C4B">
      <w:pPr>
        <w:widowControl/>
        <w:numPr>
          <w:ilvl w:val="0"/>
          <w:numId w:val="47"/>
        </w:numPr>
        <w:spacing w:before="0" w:after="0"/>
        <w:jc w:val="left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Using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for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financing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fixed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in </w:t>
      </w:r>
      <w:proofErr w:type="spellStart"/>
      <w:r w:rsidRPr="001C6C4B">
        <w:rPr>
          <w:rFonts w:ascii="Times New Roman" w:hAnsi="Times New Roman"/>
          <w:color w:val="auto"/>
          <w:sz w:val="24"/>
        </w:rPr>
        <w:t>turn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1C6C4B">
        <w:rPr>
          <w:rFonts w:ascii="Times New Roman" w:hAnsi="Times New Roman"/>
          <w:color w:val="auto"/>
          <w:sz w:val="24"/>
        </w:rPr>
        <w:t>carries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high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risk</w:t>
      </w:r>
      <w:r w:rsidRPr="001C6C4B">
        <w:rPr>
          <w:rFonts w:ascii="Times New Roman" w:hAnsi="Times New Roman"/>
          <w:color w:val="auto"/>
          <w:sz w:val="24"/>
        </w:rPr>
        <w:t>.</w:t>
      </w:r>
    </w:p>
    <w:p w14:paraId="6BD65B4A" w14:textId="77777777" w:rsidR="001C6C4B" w:rsidRPr="001C6C4B" w:rsidRDefault="001C6C4B" w:rsidP="001C6C4B">
      <w:pPr>
        <w:widowControl/>
        <w:spacing w:after="0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Surplus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over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(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liabilities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)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called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r w:rsidRPr="001C6C4B">
        <w:rPr>
          <w:rFonts w:ascii="Times New Roman" w:hAnsi="Times New Roman"/>
          <w:b/>
          <w:color w:val="auto"/>
          <w:sz w:val="24"/>
        </w:rPr>
        <w:t xml:space="preserve">Net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Working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– NWC. </w:t>
      </w:r>
      <w:proofErr w:type="spellStart"/>
      <w:r w:rsidRPr="001C6C4B">
        <w:rPr>
          <w:rFonts w:ascii="Times New Roman" w:hAnsi="Times New Roman"/>
          <w:color w:val="auto"/>
          <w:sz w:val="24"/>
        </w:rPr>
        <w:t>It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also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defined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as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part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financed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by long-term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sources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. Net </w:t>
      </w:r>
      <w:proofErr w:type="spellStart"/>
      <w:r w:rsidRPr="001C6C4B">
        <w:rPr>
          <w:rFonts w:ascii="Times New Roman" w:hAnsi="Times New Roman"/>
          <w:color w:val="auto"/>
          <w:sz w:val="24"/>
        </w:rPr>
        <w:t>Working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represents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amount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free </w:t>
      </w:r>
      <w:proofErr w:type="spellStart"/>
      <w:r w:rsidRPr="001C6C4B">
        <w:rPr>
          <w:rFonts w:ascii="Times New Roman" w:hAnsi="Times New Roman"/>
          <w:color w:val="auto"/>
          <w:sz w:val="24"/>
        </w:rPr>
        <w:t>resources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available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to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company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after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all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liabilities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had </w:t>
      </w:r>
      <w:proofErr w:type="spellStart"/>
      <w:r w:rsidRPr="001C6C4B">
        <w:rPr>
          <w:rFonts w:ascii="Times New Roman" w:hAnsi="Times New Roman"/>
          <w:color w:val="auto"/>
          <w:sz w:val="24"/>
        </w:rPr>
        <w:t>been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settled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. </w:t>
      </w:r>
      <w:proofErr w:type="spellStart"/>
      <w:r w:rsidRPr="001C6C4B">
        <w:rPr>
          <w:rFonts w:ascii="Times New Roman" w:hAnsi="Times New Roman"/>
          <w:color w:val="auto"/>
          <w:sz w:val="24"/>
        </w:rPr>
        <w:t>It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desirable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that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kept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directly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in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form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money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. A </w:t>
      </w:r>
      <w:proofErr w:type="spellStart"/>
      <w:r w:rsidRPr="001C6C4B">
        <w:rPr>
          <w:rFonts w:ascii="Times New Roman" w:hAnsi="Times New Roman"/>
          <w:color w:val="auto"/>
          <w:sz w:val="24"/>
        </w:rPr>
        <w:t>satisfactory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amount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Net </w:t>
      </w:r>
      <w:proofErr w:type="spellStart"/>
      <w:r w:rsidRPr="001C6C4B">
        <w:rPr>
          <w:rFonts w:ascii="Times New Roman" w:hAnsi="Times New Roman"/>
          <w:color w:val="auto"/>
          <w:sz w:val="24"/>
        </w:rPr>
        <w:t>Working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one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signs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 </w:t>
      </w:r>
      <w:proofErr w:type="spellStart"/>
      <w:r w:rsidRPr="001C6C4B">
        <w:rPr>
          <w:rFonts w:ascii="Times New Roman" w:hAnsi="Times New Roman"/>
          <w:color w:val="auto"/>
          <w:sz w:val="24"/>
        </w:rPr>
        <w:t>good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financial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situation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company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197927E3" w14:textId="4ACA6855" w:rsidR="001C6C4B" w:rsidRDefault="001C6C4B" w:rsidP="001C6C4B">
      <w:pPr>
        <w:widowControl/>
        <w:spacing w:after="0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If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Short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-term </w:t>
      </w:r>
      <w:proofErr w:type="spellStart"/>
      <w:r w:rsidRPr="001C6C4B">
        <w:rPr>
          <w:rFonts w:ascii="Times New Roman" w:hAnsi="Times New Roman"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becomes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higher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than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Current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– </w:t>
      </w:r>
      <w:proofErr w:type="spellStart"/>
      <w:r w:rsidRPr="001C6C4B">
        <w:rPr>
          <w:rFonts w:ascii="Times New Roman" w:hAnsi="Times New Roman"/>
          <w:color w:val="auto"/>
          <w:sz w:val="24"/>
        </w:rPr>
        <w:t>which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utterly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undesirable</w:t>
      </w:r>
      <w:proofErr w:type="spellEnd"/>
      <w:r w:rsidRPr="001C6C4B">
        <w:rPr>
          <w:rFonts w:ascii="Times New Roman" w:hAnsi="Times New Roman"/>
          <w:color w:val="auto"/>
          <w:sz w:val="24"/>
        </w:rPr>
        <w:t>, a so-</w:t>
      </w:r>
      <w:proofErr w:type="spellStart"/>
      <w:r w:rsidRPr="001C6C4B">
        <w:rPr>
          <w:rFonts w:ascii="Times New Roman" w:hAnsi="Times New Roman"/>
          <w:color w:val="auto"/>
          <w:sz w:val="24"/>
        </w:rPr>
        <w:t>called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Flowing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b/>
          <w:color w:val="auto"/>
          <w:sz w:val="24"/>
        </w:rPr>
        <w:t>Debt</w:t>
      </w:r>
      <w:proofErr w:type="spellEnd"/>
      <w:r w:rsidRPr="001C6C4B">
        <w:rPr>
          <w:rFonts w:ascii="Times New Roman" w:hAnsi="Times New Roman"/>
          <w:b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ensues</w:t>
      </w:r>
      <w:proofErr w:type="spellEnd"/>
      <w:r w:rsidRPr="001C6C4B">
        <w:rPr>
          <w:rFonts w:ascii="Times New Roman" w:hAnsi="Times New Roman"/>
          <w:color w:val="auto"/>
          <w:sz w:val="24"/>
        </w:rPr>
        <w:t>.</w:t>
      </w:r>
    </w:p>
    <w:p w14:paraId="52115EF1" w14:textId="77777777" w:rsidR="001C6C4B" w:rsidRPr="001C6C4B" w:rsidRDefault="001C6C4B" w:rsidP="001C6C4B">
      <w:pPr>
        <w:widowControl/>
        <w:spacing w:after="0"/>
        <w:rPr>
          <w:rFonts w:ascii="Times New Roman" w:hAnsi="Times New Roman"/>
          <w:color w:val="auto"/>
          <w:sz w:val="24"/>
        </w:rPr>
      </w:pPr>
      <w:bookmarkStart w:id="0" w:name="_GoBack"/>
      <w:bookmarkEnd w:id="0"/>
    </w:p>
    <w:p w14:paraId="4B4D8B33" w14:textId="11E52866" w:rsidR="00A1638C" w:rsidRDefault="00A1638C" w:rsidP="001C6C4B">
      <w:pPr>
        <w:widowControl/>
        <w:spacing w:before="0" w:after="0"/>
        <w:rPr>
          <w:b/>
          <w:sz w:val="28"/>
          <w:szCs w:val="28"/>
        </w:rPr>
      </w:pPr>
    </w:p>
    <w:p w14:paraId="09E688E3" w14:textId="2A0FC516" w:rsidR="001C6C4B" w:rsidRPr="001C6C4B" w:rsidRDefault="001C6C4B" w:rsidP="001C6C4B">
      <w:pPr>
        <w:widowControl/>
        <w:spacing w:before="0" w:after="0"/>
        <w:jc w:val="left"/>
        <w:rPr>
          <w:rFonts w:ascii="Times New Roman" w:hAnsi="Times New Roman"/>
          <w:b/>
          <w:caps/>
          <w:color w:val="auto"/>
          <w:sz w:val="24"/>
        </w:rPr>
      </w:pPr>
      <w:r w:rsidRPr="001C6C4B">
        <w:rPr>
          <w:rFonts w:ascii="Times New Roman" w:hAnsi="Times New Roman"/>
          <w:b/>
          <w:caps/>
          <w:color w:val="auto"/>
          <w:sz w:val="24"/>
        </w:rPr>
        <w:t xml:space="preserve">EXAMPLE </w:t>
      </w:r>
      <w:r>
        <w:rPr>
          <w:rFonts w:ascii="Times New Roman" w:hAnsi="Times New Roman"/>
          <w:b/>
          <w:caps/>
          <w:color w:val="auto"/>
          <w:sz w:val="24"/>
        </w:rPr>
        <w:t>to practice</w:t>
      </w:r>
      <w:r w:rsidRPr="001C6C4B">
        <w:rPr>
          <w:rFonts w:ascii="Times New Roman" w:hAnsi="Times New Roman"/>
          <w:b/>
          <w:caps/>
          <w:color w:val="auto"/>
          <w:sz w:val="24"/>
        </w:rPr>
        <w:t>:</w:t>
      </w:r>
    </w:p>
    <w:p w14:paraId="6C1E1B71" w14:textId="77777777" w:rsidR="001C6C4B" w:rsidRPr="001C6C4B" w:rsidRDefault="001C6C4B" w:rsidP="001C6C4B">
      <w:pPr>
        <w:widowControl/>
        <w:spacing w:before="0" w:after="60"/>
        <w:jc w:val="left"/>
        <w:rPr>
          <w:rFonts w:ascii="Times New Roman" w:hAnsi="Times New Roman"/>
          <w:color w:val="auto"/>
          <w:sz w:val="24"/>
        </w:rPr>
      </w:pPr>
      <w:proofErr w:type="spellStart"/>
      <w:r w:rsidRPr="001C6C4B">
        <w:rPr>
          <w:rFonts w:ascii="Times New Roman" w:hAnsi="Times New Roman"/>
          <w:color w:val="auto"/>
          <w:sz w:val="24"/>
        </w:rPr>
        <w:t>Assess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relationships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between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asset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structure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and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capital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structure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company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on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basis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of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1C6C4B">
        <w:rPr>
          <w:rFonts w:ascii="Times New Roman" w:hAnsi="Times New Roman"/>
          <w:color w:val="auto"/>
          <w:sz w:val="24"/>
        </w:rPr>
        <w:t>the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balance </w:t>
      </w:r>
      <w:proofErr w:type="spellStart"/>
      <w:r w:rsidRPr="001C6C4B">
        <w:rPr>
          <w:rFonts w:ascii="Times New Roman" w:hAnsi="Times New Roman"/>
          <w:color w:val="auto"/>
          <w:sz w:val="24"/>
        </w:rPr>
        <w:t>sheet</w:t>
      </w:r>
      <w:proofErr w:type="spellEnd"/>
      <w:r w:rsidRPr="001C6C4B">
        <w:rPr>
          <w:rFonts w:ascii="Times New Roman" w:hAnsi="Times New Roman"/>
          <w:color w:val="auto"/>
          <w:sz w:val="24"/>
        </w:rPr>
        <w:t xml:space="preserve"> data (in </w:t>
      </w:r>
      <w:proofErr w:type="spellStart"/>
      <w:r w:rsidRPr="001C6C4B">
        <w:rPr>
          <w:rFonts w:ascii="Times New Roman" w:hAnsi="Times New Roman"/>
          <w:color w:val="auto"/>
          <w:sz w:val="24"/>
        </w:rPr>
        <w:t>thous</w:t>
      </w:r>
      <w:proofErr w:type="spellEnd"/>
      <w:r w:rsidRPr="001C6C4B">
        <w:rPr>
          <w:rFonts w:ascii="Times New Roman" w:hAnsi="Times New Roman"/>
          <w:color w:val="auto"/>
          <w:sz w:val="24"/>
        </w:rPr>
        <w:t>. CZK).</w:t>
      </w:r>
    </w:p>
    <w:p w14:paraId="5A0FB9FB" w14:textId="77777777" w:rsidR="001C6C4B" w:rsidRPr="001C6C4B" w:rsidRDefault="001C6C4B" w:rsidP="001C6C4B">
      <w:pPr>
        <w:widowControl/>
        <w:spacing w:before="0" w:after="60"/>
        <w:jc w:val="left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3402"/>
        <w:gridCol w:w="1204"/>
      </w:tblGrid>
      <w:tr w:rsidR="001C6C4B" w:rsidRPr="001C6C4B" w14:paraId="557E16E2" w14:textId="77777777" w:rsidTr="00F642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285EBCCF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Assets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        BALANCE SHEET                                       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Liabilities</w:t>
            </w:r>
            <w:proofErr w:type="spellEnd"/>
          </w:p>
        </w:tc>
      </w:tr>
      <w:tr w:rsidR="001C6C4B" w:rsidRPr="001C6C4B" w14:paraId="621CD76E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0B317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Fixed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Assets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(in ZC)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237524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290 000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19C41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Registered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Capital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4299B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260 000</w:t>
            </w:r>
          </w:p>
        </w:tc>
      </w:tr>
      <w:tr w:rsidR="001C6C4B" w:rsidRPr="001C6C4B" w14:paraId="3338E949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172AD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Inventory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916EA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250 000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0CE19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Funds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from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earnings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F6CAD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30 000</w:t>
            </w:r>
          </w:p>
        </w:tc>
      </w:tr>
      <w:tr w:rsidR="001C6C4B" w:rsidRPr="001C6C4B" w14:paraId="3FD646FC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A7774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Receivables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57722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110 000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80C98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Profit –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previous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years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81ABC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150 000</w:t>
            </w:r>
          </w:p>
        </w:tc>
      </w:tr>
      <w:tr w:rsidR="001C6C4B" w:rsidRPr="001C6C4B" w14:paraId="7BE16EC7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DFD3A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Cash and bank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accounts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85F15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150 000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46745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Long-term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Payables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A9635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140 000</w:t>
            </w:r>
          </w:p>
        </w:tc>
      </w:tr>
      <w:tr w:rsidR="001C6C4B" w:rsidRPr="001C6C4B" w14:paraId="0924065F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3CE58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EFB7CC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ADEEF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Short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-term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Payables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737C9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220 000</w:t>
            </w:r>
          </w:p>
        </w:tc>
      </w:tr>
      <w:tr w:rsidR="001C6C4B" w:rsidRPr="001C6C4B" w14:paraId="30ECD592" w14:textId="77777777" w:rsidTr="00F642A7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510A6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Assets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Total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C9B9A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800 000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A40FC" w14:textId="77777777" w:rsidR="001C6C4B" w:rsidRPr="001C6C4B" w:rsidRDefault="001C6C4B" w:rsidP="001C6C4B">
            <w:pPr>
              <w:widowControl/>
              <w:spacing w:before="20" w:after="20"/>
              <w:jc w:val="left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Liabilities</w:t>
            </w:r>
            <w:proofErr w:type="spellEnd"/>
            <w:r w:rsidRPr="001C6C4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1C6C4B">
              <w:rPr>
                <w:rFonts w:ascii="Times New Roman" w:hAnsi="Times New Roman"/>
                <w:color w:val="auto"/>
                <w:sz w:val="24"/>
              </w:rPr>
              <w:t>Total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B572" w14:textId="77777777" w:rsidR="001C6C4B" w:rsidRPr="001C6C4B" w:rsidRDefault="001C6C4B" w:rsidP="001C6C4B">
            <w:pPr>
              <w:widowControl/>
              <w:spacing w:before="20" w:after="20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1C6C4B">
              <w:rPr>
                <w:rFonts w:ascii="Times New Roman" w:hAnsi="Times New Roman"/>
                <w:color w:val="auto"/>
                <w:sz w:val="24"/>
              </w:rPr>
              <w:t>800 000</w:t>
            </w:r>
          </w:p>
        </w:tc>
      </w:tr>
    </w:tbl>
    <w:p w14:paraId="4846CA54" w14:textId="77777777" w:rsidR="001C6C4B" w:rsidRPr="001C6C4B" w:rsidRDefault="001C6C4B" w:rsidP="001C6C4B">
      <w:pPr>
        <w:widowControl/>
        <w:spacing w:before="0" w:after="0"/>
        <w:jc w:val="left"/>
        <w:rPr>
          <w:rFonts w:ascii="Times New Roman" w:hAnsi="Times New Roman"/>
          <w:color w:val="auto"/>
          <w:sz w:val="24"/>
        </w:rPr>
      </w:pPr>
    </w:p>
    <w:p w14:paraId="5ECCE3BD" w14:textId="77777777" w:rsidR="001C6C4B" w:rsidRPr="001C6C4B" w:rsidRDefault="001C6C4B" w:rsidP="001C6C4B">
      <w:pPr>
        <w:widowControl/>
        <w:spacing w:before="0" w:after="0"/>
        <w:jc w:val="left"/>
        <w:rPr>
          <w:rFonts w:ascii="Times New Roman" w:hAnsi="Times New Roman"/>
          <w:color w:val="auto"/>
          <w:sz w:val="24"/>
        </w:rPr>
      </w:pPr>
    </w:p>
    <w:p w14:paraId="1F4B82E3" w14:textId="77777777" w:rsidR="001C6C4B" w:rsidRPr="00A1638C" w:rsidRDefault="001C6C4B" w:rsidP="001C6C4B">
      <w:pPr>
        <w:widowControl/>
        <w:spacing w:before="0" w:after="0"/>
        <w:rPr>
          <w:b/>
          <w:sz w:val="28"/>
          <w:szCs w:val="28"/>
        </w:rPr>
      </w:pPr>
    </w:p>
    <w:sectPr w:rsidR="001C6C4B" w:rsidRPr="00A1638C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07583685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1C6C4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69252EE0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638C">
      <w:rPr>
        <w:b/>
        <w:sz w:val="14"/>
      </w:rPr>
      <w:t>Bussines</w:t>
    </w:r>
    <w:proofErr w:type="spellEnd"/>
    <w:r w:rsidR="00A1638C">
      <w:rPr>
        <w:b/>
        <w:sz w:val="14"/>
      </w:rPr>
      <w:t xml:space="preserve"> </w:t>
    </w:r>
    <w:proofErr w:type="spellStart"/>
    <w:r w:rsidR="00A1638C">
      <w:rPr>
        <w:b/>
        <w:sz w:val="14"/>
      </w:rPr>
      <w:t>Economics</w:t>
    </w:r>
    <w:proofErr w:type="spellEnd"/>
  </w:p>
  <w:p w14:paraId="77CEE549" w14:textId="0E6100C8" w:rsidR="00EF3ACA" w:rsidRPr="005314CC" w:rsidRDefault="00A1638C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proofErr w:type="spellStart"/>
    <w:r>
      <w:rPr>
        <w:color w:val="808080" w:themeColor="background1" w:themeShade="80"/>
        <w:sz w:val="14"/>
      </w:rPr>
      <w:t>Capital</w:t>
    </w:r>
    <w:proofErr w:type="spellEnd"/>
    <w:r>
      <w:rPr>
        <w:color w:val="808080" w:themeColor="background1" w:themeShade="80"/>
        <w:sz w:val="14"/>
      </w:rPr>
      <w:t xml:space="preserve"> </w:t>
    </w:r>
    <w:proofErr w:type="spellStart"/>
    <w:r>
      <w:rPr>
        <w:color w:val="808080" w:themeColor="background1" w:themeShade="80"/>
        <w:sz w:val="14"/>
      </w:rPr>
      <w:t>structure</w:t>
    </w:r>
    <w:proofErr w:type="spellEnd"/>
    <w:r>
      <w:rPr>
        <w:color w:val="808080" w:themeColor="background1" w:themeShade="80"/>
        <w:sz w:val="14"/>
      </w:rPr>
      <w:t xml:space="preserve"> - </w:t>
    </w:r>
    <w:proofErr w:type="spellStart"/>
    <w:r>
      <w:rPr>
        <w:color w:val="808080" w:themeColor="background1" w:themeShade="80"/>
        <w:sz w:val="14"/>
      </w:rPr>
      <w:t>exapmle</w:t>
    </w:r>
    <w:proofErr w:type="spellEnd"/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07185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0581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F3815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FD27D5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9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46F4D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2"/>
  </w:num>
  <w:num w:numId="7">
    <w:abstractNumId w:val="20"/>
  </w:num>
  <w:num w:numId="8">
    <w:abstractNumId w:val="24"/>
  </w:num>
  <w:num w:numId="9">
    <w:abstractNumId w:val="31"/>
  </w:num>
  <w:num w:numId="10">
    <w:abstractNumId w:val="9"/>
  </w:num>
  <w:num w:numId="11">
    <w:abstractNumId w:val="39"/>
  </w:num>
  <w:num w:numId="12">
    <w:abstractNumId w:val="18"/>
  </w:num>
  <w:num w:numId="13">
    <w:abstractNumId w:val="32"/>
  </w:num>
  <w:num w:numId="14">
    <w:abstractNumId w:val="15"/>
  </w:num>
  <w:num w:numId="15">
    <w:abstractNumId w:val="41"/>
  </w:num>
  <w:num w:numId="16">
    <w:abstractNumId w:val="7"/>
  </w:num>
  <w:num w:numId="17">
    <w:abstractNumId w:val="5"/>
  </w:num>
  <w:num w:numId="18">
    <w:abstractNumId w:val="13"/>
  </w:num>
  <w:num w:numId="19">
    <w:abstractNumId w:val="36"/>
  </w:num>
  <w:num w:numId="20">
    <w:abstractNumId w:val="35"/>
  </w:num>
  <w:num w:numId="21">
    <w:abstractNumId w:val="22"/>
  </w:num>
  <w:num w:numId="22">
    <w:abstractNumId w:val="11"/>
  </w:num>
  <w:num w:numId="23">
    <w:abstractNumId w:val="29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0"/>
  </w:num>
  <w:num w:numId="30">
    <w:abstractNumId w:val="33"/>
  </w:num>
  <w:num w:numId="31">
    <w:abstractNumId w:val="38"/>
  </w:num>
  <w:num w:numId="32">
    <w:abstractNumId w:val="19"/>
  </w:num>
  <w:num w:numId="33">
    <w:abstractNumId w:val="4"/>
  </w:num>
  <w:num w:numId="34">
    <w:abstractNumId w:val="25"/>
  </w:num>
  <w:num w:numId="35">
    <w:abstractNumId w:val="34"/>
  </w:num>
  <w:num w:numId="36">
    <w:abstractNumId w:val="27"/>
  </w:num>
  <w:num w:numId="37">
    <w:abstractNumId w:val="42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7"/>
  </w:num>
  <w:num w:numId="43">
    <w:abstractNumId w:val="28"/>
  </w:num>
  <w:num w:numId="44">
    <w:abstractNumId w:val="30"/>
  </w:num>
  <w:num w:numId="45">
    <w:abstractNumId w:val="14"/>
  </w:num>
  <w:num w:numId="46">
    <w:abstractNumId w:val="26"/>
  </w:num>
  <w:num w:numId="4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4B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38C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2AC9-3774-4BCC-91A1-FE4E6C09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A9AB0480.dotm</Template>
  <TotalTime>0</TotalTime>
  <Pages>1</Pages>
  <Words>310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2099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2019-06-25T07:31:00Z</dcterms:created>
  <dcterms:modified xsi:type="dcterms:W3CDTF">2019-06-25T07:31:00Z</dcterms:modified>
</cp:coreProperties>
</file>