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ABB" w:rsidRDefault="002C2ABB">
      <w:r>
        <w:separator/>
      </w:r>
    </w:p>
    <w:p w:rsidR="002C2ABB" w:rsidRDefault="002C2ABB"/>
  </w:endnote>
  <w:endnote w:type="continuationSeparator" w:id="0">
    <w:p w:rsidR="002C2ABB" w:rsidRDefault="002C2ABB">
      <w:r>
        <w:continuationSeparator/>
      </w:r>
    </w:p>
    <w:p w:rsidR="002C2ABB" w:rsidRDefault="002C2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ABB" w:rsidRDefault="002C2ABB">
      <w:r>
        <w:separator/>
      </w:r>
    </w:p>
    <w:p w:rsidR="002C2ABB" w:rsidRDefault="002C2ABB"/>
  </w:footnote>
  <w:footnote w:type="continuationSeparator" w:id="0">
    <w:p w:rsidR="002C2ABB" w:rsidRDefault="002C2ABB">
      <w:r>
        <w:continuationSeparator/>
      </w:r>
    </w:p>
    <w:p w:rsidR="002C2ABB" w:rsidRDefault="002C2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2C2AB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947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ABB">
      <w:rPr>
        <w:b/>
        <w:sz w:val="14"/>
      </w:rPr>
      <w:t>Kontrolní otázky a úkoly</w:t>
    </w:r>
  </w:p>
  <w:p w:rsidR="00EF3ACA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</w:p>
  <w:p w:rsidR="002C2ABB" w:rsidRDefault="002C2ABB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</w:p>
  <w:p w:rsidR="002C2ABB" w:rsidRDefault="002C2ABB" w:rsidP="002C2ABB">
    <w:pPr>
      <w:pStyle w:val="reakreditace7"/>
      <w:rPr>
        <w:color w:val="auto"/>
      </w:rPr>
    </w:pPr>
  </w:p>
  <w:p w:rsidR="002C2ABB" w:rsidRDefault="002C2ABB" w:rsidP="002C2ABB">
    <w:pPr>
      <w:pStyle w:val="reakreditace7"/>
      <w:rPr>
        <w:color w:val="auto"/>
      </w:rPr>
    </w:pPr>
  </w:p>
  <w:p w:rsidR="002C2ABB" w:rsidRDefault="002C2ABB" w:rsidP="002C2ABB">
    <w:pPr>
      <w:pStyle w:val="reakreditace7"/>
      <w:rPr>
        <w:color w:val="auto"/>
      </w:rPr>
    </w:pPr>
    <w:bookmarkStart w:id="0" w:name="_GoBack"/>
    <w:bookmarkEnd w:id="0"/>
    <w:r>
      <w:rPr>
        <w:color w:val="auto"/>
      </w:rPr>
      <w:t>Kontrolní otázky a úkoly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</w:p>
  <w:p w:rsidR="002C2ABB" w:rsidRDefault="002C2ABB" w:rsidP="002C2ABB">
    <w:pPr>
      <w:pStyle w:val="reakreditace9"/>
      <w:numPr>
        <w:ilvl w:val="0"/>
        <w:numId w:val="0"/>
      </w:numPr>
      <w:ind w:left="644"/>
    </w:pP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>1) V čem spočívá didaktická interpretace textu? Jaký je rozdíl při srovnání se „</w:t>
    </w:r>
    <w:proofErr w:type="spellStart"/>
    <w:r>
      <w:t>scientistní</w:t>
    </w:r>
    <w:proofErr w:type="spellEnd"/>
    <w:r>
      <w:t>“ interpretací textu v literární výchově?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 xml:space="preserve">2) Proč chápeme didaktickou interpretaci textu jako interakční metodu? 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 xml:space="preserve">3) Jakou roli v didaktické interpretaci textu hraje čtenářská zkušenost? 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>4) Popište percepci, první fázi rozvoje literárních schopností a dovedností, při recepci uměleckého textu (použijte pojmy kultivace a intepretace).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>5) Popište apercepci, druhou fázi rozvoje literárních schopností a dovedností, při recepci uměleckého textu (použijte pojmy kultivace a intepretace).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>6) Popište interpretaci, třetí fázi rozvoje literárních schopností a dovedností, při recepci uměleckého textu (použijte pojmy kultivace a intepretace).</w:t>
    </w:r>
  </w:p>
  <w:p w:rsidR="002C2ABB" w:rsidRDefault="002C2ABB" w:rsidP="002C2ABB">
    <w:pPr>
      <w:pStyle w:val="reakreditace9"/>
      <w:numPr>
        <w:ilvl w:val="0"/>
        <w:numId w:val="0"/>
      </w:numPr>
      <w:ind w:left="644"/>
    </w:pPr>
    <w:r>
      <w:t>7) Popište konkretizaci, čtvrtou fázi rozvoje literárních schopností a dovedností, při recepci uměleckého textu (použijte pojmy kultivace a intepretace).</w:t>
    </w:r>
  </w:p>
  <w:p w:rsidR="002C2ABB" w:rsidRPr="005314CC" w:rsidRDefault="002C2ABB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FC0" w:rsidRDefault="009D5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B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ABB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84AE95A4-9747-4257-9AA0-06B7206B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2C2ABB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2C2ABB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8C8B-6496-4EB6-8E71-435913D3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2018-12-03T15:27:00Z</dcterms:created>
  <dcterms:modified xsi:type="dcterms:W3CDTF">2018-12-03T15:28:00Z</dcterms:modified>
</cp:coreProperties>
</file>